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BB6FF" w14:textId="77777777" w:rsidR="00025FDE" w:rsidRPr="00D60FEB" w:rsidRDefault="00361BC5" w:rsidP="00025FDE">
      <w:pPr>
        <w:ind w:left="-710" w:firstLine="695"/>
        <w:rPr>
          <w:sz w:val="22"/>
          <w:szCs w:val="22"/>
        </w:rPr>
      </w:pPr>
      <w:r w:rsidRPr="00D60FEB">
        <w:rPr>
          <w:b/>
          <w:bCs/>
          <w:sz w:val="22"/>
          <w:szCs w:val="22"/>
        </w:rPr>
        <w:t xml:space="preserve">Lancashire Enterprise Partnership Limited  </w:t>
      </w:r>
    </w:p>
    <w:p w14:paraId="19281694" w14:textId="77777777" w:rsidR="00025FDE" w:rsidRPr="00D60FEB" w:rsidRDefault="00361BC5" w:rsidP="00025FDE">
      <w:pPr>
        <w:spacing w:after="0" w:line="256" w:lineRule="auto"/>
        <w:ind w:left="0" w:firstLine="0"/>
        <w:rPr>
          <w:b/>
          <w:bCs/>
          <w:sz w:val="22"/>
          <w:szCs w:val="22"/>
        </w:rPr>
      </w:pPr>
      <w:r w:rsidRPr="00D60FEB">
        <w:rPr>
          <w:b/>
          <w:bCs/>
          <w:sz w:val="22"/>
          <w:szCs w:val="22"/>
        </w:rPr>
        <w:t xml:space="preserve"> </w:t>
      </w:r>
    </w:p>
    <w:p w14:paraId="31F6D940" w14:textId="77777777" w:rsidR="00025FDE" w:rsidRPr="00D60FEB" w:rsidRDefault="00361BC5" w:rsidP="00025FDE">
      <w:pPr>
        <w:spacing w:after="0" w:line="256" w:lineRule="auto"/>
        <w:ind w:left="0" w:firstLine="0"/>
        <w:rPr>
          <w:b/>
          <w:bCs/>
          <w:sz w:val="22"/>
          <w:szCs w:val="22"/>
        </w:rPr>
      </w:pPr>
      <w:r w:rsidRPr="00D60FEB">
        <w:rPr>
          <w:b/>
          <w:sz w:val="22"/>
          <w:szCs w:val="22"/>
        </w:rPr>
        <w:t>Private and Confidential: NO</w:t>
      </w:r>
      <w:r w:rsidRPr="00D60FEB">
        <w:rPr>
          <w:b/>
          <w:bCs/>
          <w:sz w:val="22"/>
          <w:szCs w:val="22"/>
        </w:rPr>
        <w:t xml:space="preserve"> </w:t>
      </w:r>
    </w:p>
    <w:p w14:paraId="65F9298A" w14:textId="77777777" w:rsidR="00025FDE" w:rsidRPr="00D60FEB" w:rsidRDefault="00025FDE" w:rsidP="00025FDE">
      <w:pPr>
        <w:spacing w:after="0" w:line="256" w:lineRule="auto"/>
        <w:ind w:left="0" w:firstLine="0"/>
        <w:rPr>
          <w:sz w:val="22"/>
          <w:szCs w:val="22"/>
        </w:rPr>
      </w:pPr>
    </w:p>
    <w:p w14:paraId="22BB834D" w14:textId="77777777" w:rsidR="00025FDE" w:rsidRPr="00D60FEB" w:rsidRDefault="00361BC5" w:rsidP="00025FDE">
      <w:pPr>
        <w:rPr>
          <w:sz w:val="22"/>
          <w:szCs w:val="22"/>
        </w:rPr>
      </w:pPr>
      <w:r w:rsidRPr="00D60FEB">
        <w:rPr>
          <w:b/>
          <w:sz w:val="22"/>
          <w:szCs w:val="22"/>
        </w:rPr>
        <w:t>Date:</w:t>
      </w:r>
      <w:r w:rsidRPr="00D60FEB">
        <w:rPr>
          <w:sz w:val="22"/>
          <w:szCs w:val="22"/>
        </w:rPr>
        <w:t xml:space="preserve"> </w:t>
      </w:r>
      <w:r w:rsidRPr="00D60FEB">
        <w:rPr>
          <w:sz w:val="22"/>
          <w:szCs w:val="22"/>
        </w:rPr>
        <w:fldChar w:fldCharType="begin"/>
      </w:r>
      <w:r w:rsidRPr="00D60FEB">
        <w:rPr>
          <w:sz w:val="22"/>
          <w:szCs w:val="22"/>
        </w:rPr>
        <w:instrText xml:space="preserve"> DOCPROPERTY  MeetingDate  \* MERGEFORMAT </w:instrText>
      </w:r>
      <w:r w:rsidRPr="00D60FEB">
        <w:rPr>
          <w:sz w:val="22"/>
          <w:szCs w:val="22"/>
        </w:rPr>
        <w:fldChar w:fldCharType="separate"/>
      </w:r>
      <w:r w:rsidRPr="00D60FEB">
        <w:rPr>
          <w:sz w:val="22"/>
          <w:szCs w:val="22"/>
        </w:rPr>
        <w:t xml:space="preserve">Tuesday, </w:t>
      </w:r>
      <w:r>
        <w:rPr>
          <w:sz w:val="22"/>
          <w:szCs w:val="22"/>
        </w:rPr>
        <w:t>7</w:t>
      </w:r>
      <w:r w:rsidRPr="00025FDE">
        <w:rPr>
          <w:sz w:val="22"/>
          <w:szCs w:val="22"/>
          <w:vertAlign w:val="superscript"/>
        </w:rPr>
        <w:t>th</w:t>
      </w:r>
      <w:r>
        <w:rPr>
          <w:sz w:val="22"/>
          <w:szCs w:val="22"/>
        </w:rPr>
        <w:t xml:space="preserve"> September </w:t>
      </w:r>
      <w:r w:rsidRPr="00D60FEB">
        <w:rPr>
          <w:sz w:val="22"/>
          <w:szCs w:val="22"/>
        </w:rPr>
        <w:t>2021</w:t>
      </w:r>
      <w:r w:rsidRPr="00D60FEB">
        <w:rPr>
          <w:sz w:val="22"/>
          <w:szCs w:val="22"/>
        </w:rPr>
        <w:fldChar w:fldCharType="end"/>
      </w:r>
    </w:p>
    <w:p w14:paraId="0EA8F798" w14:textId="77777777" w:rsidR="00025FDE" w:rsidRPr="00D60FEB" w:rsidRDefault="00025FDE" w:rsidP="00025FDE">
      <w:pPr>
        <w:rPr>
          <w:sz w:val="22"/>
          <w:szCs w:val="22"/>
        </w:rPr>
      </w:pPr>
    </w:p>
    <w:p w14:paraId="032F34CD" w14:textId="77777777" w:rsidR="00025FDE" w:rsidRPr="00D60FEB" w:rsidRDefault="00361BC5" w:rsidP="00025FDE">
      <w:pPr>
        <w:rPr>
          <w:rFonts w:eastAsia="Times New Roman"/>
          <w:b/>
          <w:color w:val="auto"/>
          <w:sz w:val="22"/>
          <w:szCs w:val="22"/>
        </w:rPr>
      </w:pPr>
      <w:r w:rsidRPr="00D60FEB">
        <w:rPr>
          <w:rFonts w:eastAsia="Times New Roman"/>
          <w:b/>
          <w:color w:val="auto"/>
          <w:sz w:val="22"/>
          <w:szCs w:val="22"/>
        </w:rPr>
        <w:fldChar w:fldCharType="begin"/>
      </w:r>
      <w:r w:rsidRPr="00D60FEB">
        <w:rPr>
          <w:rFonts w:eastAsia="Times New Roman"/>
          <w:b/>
          <w:color w:val="auto"/>
          <w:sz w:val="22"/>
          <w:szCs w:val="22"/>
        </w:rPr>
        <w:instrText xml:space="preserve"> DOCPROPERTY  IssueTitle  \* MERGEFORMAT </w:instrText>
      </w:r>
      <w:r w:rsidRPr="00D60FEB">
        <w:rPr>
          <w:rFonts w:eastAsia="Times New Roman"/>
          <w:b/>
          <w:color w:val="auto"/>
          <w:sz w:val="22"/>
          <w:szCs w:val="22"/>
        </w:rPr>
        <w:fldChar w:fldCharType="separate"/>
      </w:r>
      <w:r w:rsidRPr="00D60FEB">
        <w:rPr>
          <w:rFonts w:eastAsia="Times New Roman"/>
          <w:b/>
          <w:color w:val="auto"/>
          <w:sz w:val="22"/>
          <w:szCs w:val="22"/>
        </w:rPr>
        <w:t>LEP - Programmes Update Report</w:t>
      </w:r>
      <w:r w:rsidRPr="00D60FEB">
        <w:rPr>
          <w:rFonts w:eastAsia="Times New Roman"/>
          <w:b/>
          <w:color w:val="auto"/>
          <w:sz w:val="22"/>
          <w:szCs w:val="22"/>
        </w:rPr>
        <w:fldChar w:fldCharType="end"/>
      </w:r>
    </w:p>
    <w:p w14:paraId="450940E3" w14:textId="77777777" w:rsidR="00025FDE" w:rsidRPr="00D60FEB" w:rsidRDefault="00361BC5" w:rsidP="00025FDE">
      <w:pPr>
        <w:ind w:left="0" w:firstLine="0"/>
        <w:rPr>
          <w:sz w:val="22"/>
          <w:szCs w:val="22"/>
        </w:rPr>
      </w:pPr>
      <w:r w:rsidRPr="00D60FEB">
        <w:rPr>
          <w:sz w:val="22"/>
          <w:szCs w:val="22"/>
        </w:rPr>
        <w:t xml:space="preserve">(Appendices 'A' to </w:t>
      </w:r>
      <w:r w:rsidRPr="00D60FEB">
        <w:rPr>
          <w:sz w:val="22"/>
          <w:szCs w:val="22"/>
        </w:rPr>
        <w:t>'M' refers)</w:t>
      </w:r>
    </w:p>
    <w:p w14:paraId="0F0B28F3" w14:textId="77777777" w:rsidR="00025FDE" w:rsidRPr="00D60FEB" w:rsidRDefault="00025FDE" w:rsidP="00025FDE">
      <w:pPr>
        <w:spacing w:after="0" w:line="256" w:lineRule="auto"/>
        <w:ind w:left="0" w:firstLine="0"/>
        <w:rPr>
          <w:sz w:val="22"/>
          <w:szCs w:val="22"/>
        </w:rPr>
      </w:pPr>
    </w:p>
    <w:p w14:paraId="3A2EACA6" w14:textId="77777777" w:rsidR="00025FDE" w:rsidRPr="00D60FEB" w:rsidRDefault="00361BC5" w:rsidP="00025FDE">
      <w:pPr>
        <w:ind w:right="-873"/>
        <w:jc w:val="both"/>
        <w:rPr>
          <w:b/>
          <w:sz w:val="22"/>
          <w:szCs w:val="22"/>
        </w:rPr>
      </w:pPr>
      <w:r w:rsidRPr="00D60FEB">
        <w:rPr>
          <w:b/>
          <w:sz w:val="22"/>
          <w:szCs w:val="22"/>
        </w:rPr>
        <w:t xml:space="preserve">Report Author: Anne-Mare Parkinson, </w:t>
      </w:r>
      <w:hyperlink r:id="rId8" w:history="1">
        <w:r w:rsidRPr="00D60FEB">
          <w:rPr>
            <w:rStyle w:val="Hyperlink"/>
            <w:b/>
            <w:sz w:val="22"/>
            <w:szCs w:val="22"/>
          </w:rPr>
          <w:t>anne-marie.parkinson@lancashirelep.co.uk</w:t>
        </w:r>
      </w:hyperlink>
      <w:r w:rsidRPr="00D60FEB">
        <w:rPr>
          <w:b/>
          <w:sz w:val="22"/>
          <w:szCs w:val="22"/>
        </w:rPr>
        <w:fldChar w:fldCharType="begin"/>
      </w:r>
      <w:r w:rsidRPr="00D60FEB">
        <w:rPr>
          <w:b/>
          <w:sz w:val="22"/>
          <w:szCs w:val="22"/>
        </w:rPr>
        <w:instrText xml:space="preserve"> DOCPROPERTY  LeadOfficerTel  \* MERGEFORMAT </w:instrText>
      </w:r>
      <w:r w:rsidRPr="00D60FEB">
        <w:rPr>
          <w:b/>
          <w:sz w:val="22"/>
          <w:szCs w:val="22"/>
        </w:rPr>
        <w:fldChar w:fldCharType="end"/>
      </w:r>
    </w:p>
    <w:p w14:paraId="2BA222E4" w14:textId="77777777" w:rsidR="00025FDE" w:rsidRPr="00D60FEB" w:rsidRDefault="00025FDE" w:rsidP="00025FDE">
      <w:pPr>
        <w:ind w:right="-873"/>
        <w:jc w:val="both"/>
        <w:rPr>
          <w:b/>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4138C" w14:paraId="0669254E" w14:textId="77777777" w:rsidTr="00B3332B">
        <w:tc>
          <w:tcPr>
            <w:tcW w:w="9180" w:type="dxa"/>
          </w:tcPr>
          <w:p w14:paraId="06213C5B" w14:textId="77777777" w:rsidR="00025FDE" w:rsidRPr="00D60FEB" w:rsidRDefault="00361BC5" w:rsidP="00B3332B">
            <w:pPr>
              <w:keepNext/>
              <w:keepLines/>
              <w:spacing w:before="40" w:after="0"/>
              <w:ind w:left="0" w:firstLine="0"/>
              <w:jc w:val="both"/>
              <w:outlineLvl w:val="5"/>
              <w:rPr>
                <w:rFonts w:eastAsiaTheme="majorEastAsia"/>
                <w:b/>
                <w:color w:val="auto"/>
                <w:sz w:val="22"/>
                <w:szCs w:val="22"/>
              </w:rPr>
            </w:pPr>
            <w:r w:rsidRPr="00D60FEB">
              <w:rPr>
                <w:rFonts w:eastAsiaTheme="majorEastAsia"/>
                <w:b/>
                <w:color w:val="auto"/>
                <w:sz w:val="22"/>
                <w:szCs w:val="22"/>
              </w:rPr>
              <w:t>Executive Summary</w:t>
            </w:r>
          </w:p>
          <w:p w14:paraId="44151306" w14:textId="77777777" w:rsidR="00025FDE" w:rsidRPr="00D60FEB" w:rsidRDefault="00025FDE" w:rsidP="00B3332B">
            <w:pPr>
              <w:spacing w:after="0" w:line="240" w:lineRule="auto"/>
              <w:ind w:left="0" w:firstLine="0"/>
              <w:jc w:val="both"/>
              <w:rPr>
                <w:color w:val="auto"/>
                <w:sz w:val="22"/>
                <w:szCs w:val="22"/>
                <w:lang w:eastAsia="en-US"/>
              </w:rPr>
            </w:pPr>
          </w:p>
          <w:p w14:paraId="7787AE35" w14:textId="77777777" w:rsidR="00025FDE" w:rsidRPr="00D60FEB" w:rsidRDefault="00361BC5" w:rsidP="00B3332B">
            <w:pPr>
              <w:ind w:left="0" w:firstLine="0"/>
              <w:jc w:val="both"/>
              <w:rPr>
                <w:color w:val="auto"/>
                <w:sz w:val="22"/>
                <w:szCs w:val="22"/>
                <w:lang w:eastAsia="en-US"/>
              </w:rPr>
            </w:pPr>
            <w:r w:rsidRPr="00D60FEB">
              <w:rPr>
                <w:color w:val="auto"/>
                <w:sz w:val="22"/>
                <w:szCs w:val="22"/>
              </w:rPr>
              <w:t xml:space="preserve">This report provides the </w:t>
            </w:r>
            <w:r w:rsidRPr="00D60FEB">
              <w:rPr>
                <w:bCs/>
                <w:color w:val="auto"/>
                <w:sz w:val="22"/>
                <w:szCs w:val="22"/>
              </w:rPr>
              <w:t xml:space="preserve">Lancashire Enterprise Partnership (LEP) </w:t>
            </w:r>
            <w:r w:rsidRPr="00D60FEB">
              <w:rPr>
                <w:color w:val="auto"/>
                <w:sz w:val="22"/>
                <w:szCs w:val="22"/>
              </w:rPr>
              <w:t>Board with high level updates for each of the LEP programmes.</w:t>
            </w:r>
          </w:p>
          <w:p w14:paraId="2B333013" w14:textId="77777777" w:rsidR="00025FDE" w:rsidRPr="00D60FEB" w:rsidRDefault="00025FDE" w:rsidP="00B3332B">
            <w:pPr>
              <w:ind w:left="1080" w:firstLine="0"/>
              <w:contextualSpacing/>
              <w:jc w:val="both"/>
              <w:rPr>
                <w:bCs/>
                <w:color w:val="auto"/>
                <w:sz w:val="22"/>
                <w:szCs w:val="22"/>
              </w:rPr>
            </w:pPr>
          </w:p>
          <w:p w14:paraId="65C81673" w14:textId="77777777" w:rsidR="00025FDE" w:rsidRPr="00D60FEB" w:rsidRDefault="00361BC5" w:rsidP="00B3332B">
            <w:pPr>
              <w:spacing w:after="0" w:line="240" w:lineRule="auto"/>
              <w:ind w:left="0" w:firstLine="0"/>
              <w:jc w:val="both"/>
              <w:rPr>
                <w:b/>
                <w:bCs/>
                <w:color w:val="auto"/>
                <w:sz w:val="22"/>
                <w:szCs w:val="22"/>
              </w:rPr>
            </w:pPr>
            <w:r w:rsidRPr="00D60FEB">
              <w:rPr>
                <w:b/>
                <w:bCs/>
                <w:color w:val="auto"/>
                <w:sz w:val="22"/>
                <w:szCs w:val="22"/>
              </w:rPr>
              <w:t>Recommendation</w:t>
            </w:r>
          </w:p>
          <w:p w14:paraId="481239E8" w14:textId="77777777" w:rsidR="00025FDE" w:rsidRPr="00D60FEB" w:rsidRDefault="00025FDE" w:rsidP="00B3332B">
            <w:pPr>
              <w:spacing w:after="0" w:line="240" w:lineRule="auto"/>
              <w:ind w:left="0" w:firstLine="0"/>
              <w:jc w:val="both"/>
              <w:rPr>
                <w:bCs/>
                <w:color w:val="auto"/>
                <w:sz w:val="22"/>
                <w:szCs w:val="22"/>
              </w:rPr>
            </w:pPr>
          </w:p>
          <w:p w14:paraId="7E4443FB" w14:textId="77777777" w:rsidR="00025FDE" w:rsidRPr="00D60FEB" w:rsidRDefault="00361BC5" w:rsidP="00B3332B">
            <w:pPr>
              <w:spacing w:after="0" w:line="240" w:lineRule="auto"/>
              <w:ind w:left="0" w:firstLine="0"/>
              <w:jc w:val="both"/>
              <w:rPr>
                <w:bCs/>
                <w:color w:val="auto"/>
                <w:sz w:val="22"/>
                <w:szCs w:val="22"/>
              </w:rPr>
            </w:pPr>
            <w:r w:rsidRPr="00D60FEB">
              <w:rPr>
                <w:bCs/>
                <w:color w:val="auto"/>
                <w:sz w:val="22"/>
                <w:szCs w:val="22"/>
              </w:rPr>
              <w:t xml:space="preserve">The Lancashire Enterprise Partnership (LEP) is asked to note the contents of this report. </w:t>
            </w:r>
          </w:p>
          <w:p w14:paraId="1BF0F80F" w14:textId="77777777" w:rsidR="00025FDE" w:rsidRPr="00D60FEB" w:rsidRDefault="00025FDE" w:rsidP="00B3332B">
            <w:pPr>
              <w:pStyle w:val="ListParagraph"/>
              <w:rPr>
                <w:sz w:val="22"/>
                <w:szCs w:val="22"/>
              </w:rPr>
            </w:pPr>
          </w:p>
        </w:tc>
      </w:tr>
    </w:tbl>
    <w:p w14:paraId="0AC8CA40" w14:textId="77777777" w:rsidR="00025FDE" w:rsidRPr="00D60FEB" w:rsidRDefault="00025FDE" w:rsidP="00025FDE">
      <w:pPr>
        <w:jc w:val="both"/>
        <w:rPr>
          <w:b/>
          <w:sz w:val="22"/>
          <w:szCs w:val="22"/>
        </w:rPr>
      </w:pPr>
    </w:p>
    <w:p w14:paraId="5403B378" w14:textId="77777777" w:rsidR="00025FDE" w:rsidRPr="00D60FEB" w:rsidRDefault="00361BC5" w:rsidP="00025FDE">
      <w:pPr>
        <w:pStyle w:val="ListParagraph"/>
        <w:spacing w:line="240" w:lineRule="auto"/>
        <w:ind w:left="0" w:firstLine="0"/>
        <w:jc w:val="both"/>
        <w:rPr>
          <w:b/>
          <w:i/>
          <w:iCs/>
          <w:sz w:val="22"/>
          <w:szCs w:val="22"/>
        </w:rPr>
      </w:pPr>
      <w:r w:rsidRPr="00D60FEB">
        <w:rPr>
          <w:b/>
          <w:i/>
          <w:iCs/>
          <w:sz w:val="22"/>
          <w:szCs w:val="22"/>
        </w:rPr>
        <w:t>BACKGROUND AND ADVICE</w:t>
      </w:r>
    </w:p>
    <w:p w14:paraId="2D08E19B" w14:textId="77777777" w:rsidR="00025FDE" w:rsidRPr="00D60FEB" w:rsidRDefault="00025FDE" w:rsidP="00025FDE">
      <w:pPr>
        <w:pStyle w:val="ListParagraph"/>
        <w:spacing w:after="0" w:line="240" w:lineRule="auto"/>
        <w:ind w:left="956" w:firstLine="0"/>
        <w:jc w:val="both"/>
        <w:rPr>
          <w:bCs/>
          <w:color w:val="auto"/>
          <w:sz w:val="22"/>
          <w:szCs w:val="22"/>
        </w:rPr>
      </w:pPr>
    </w:p>
    <w:p w14:paraId="48C3B713" w14:textId="77777777" w:rsidR="00025FDE" w:rsidRPr="00D60FEB" w:rsidRDefault="00361BC5" w:rsidP="00025FDE">
      <w:pPr>
        <w:ind w:left="0" w:firstLine="0"/>
        <w:jc w:val="both"/>
        <w:rPr>
          <w:sz w:val="22"/>
          <w:szCs w:val="22"/>
        </w:rPr>
      </w:pPr>
      <w:r w:rsidRPr="00D60FEB">
        <w:rPr>
          <w:sz w:val="22"/>
          <w:szCs w:val="22"/>
        </w:rPr>
        <w:t xml:space="preserve">The purpose of this report is to provide Members of the Board with a single high-level programme report, including an update on each of the LEP programmes, with the aim to: </w:t>
      </w:r>
    </w:p>
    <w:p w14:paraId="17531D7C" w14:textId="77777777" w:rsidR="00025FDE" w:rsidRPr="00D60FEB" w:rsidRDefault="00025FDE" w:rsidP="00025FDE">
      <w:pPr>
        <w:ind w:left="0" w:firstLine="0"/>
        <w:jc w:val="both"/>
        <w:rPr>
          <w:sz w:val="22"/>
          <w:szCs w:val="22"/>
        </w:rPr>
      </w:pPr>
    </w:p>
    <w:p w14:paraId="6A9EDFC2" w14:textId="77777777" w:rsidR="00025FDE" w:rsidRPr="00D60FEB" w:rsidRDefault="00361BC5" w:rsidP="00025FDE">
      <w:pPr>
        <w:pStyle w:val="ListParagraph"/>
        <w:numPr>
          <w:ilvl w:val="0"/>
          <w:numId w:val="4"/>
        </w:numPr>
        <w:jc w:val="both"/>
        <w:rPr>
          <w:sz w:val="22"/>
          <w:szCs w:val="22"/>
        </w:rPr>
      </w:pPr>
      <w:r w:rsidRPr="00D60FEB">
        <w:rPr>
          <w:sz w:val="22"/>
          <w:szCs w:val="22"/>
        </w:rPr>
        <w:t>Provide regular and consistent updates across all programm</w:t>
      </w:r>
      <w:r w:rsidRPr="00D60FEB">
        <w:rPr>
          <w:sz w:val="22"/>
          <w:szCs w:val="22"/>
        </w:rPr>
        <w:t>es, which can be used when Members are promoting / engaging / conducting LEP business.</w:t>
      </w:r>
    </w:p>
    <w:p w14:paraId="6BFAFAC7" w14:textId="77777777" w:rsidR="00025FDE" w:rsidRPr="00D60FEB" w:rsidRDefault="00361BC5" w:rsidP="00025FDE">
      <w:pPr>
        <w:pStyle w:val="ListParagraph"/>
        <w:numPr>
          <w:ilvl w:val="0"/>
          <w:numId w:val="4"/>
        </w:numPr>
        <w:jc w:val="both"/>
        <w:rPr>
          <w:sz w:val="22"/>
          <w:szCs w:val="22"/>
        </w:rPr>
      </w:pPr>
      <w:r w:rsidRPr="00D60FEB">
        <w:rPr>
          <w:sz w:val="22"/>
          <w:szCs w:val="22"/>
        </w:rPr>
        <w:t xml:space="preserve">Recognise, appreciate and explore the synergies / linkages between programmes to allow a more holistic delivery model. </w:t>
      </w:r>
    </w:p>
    <w:p w14:paraId="16739450" w14:textId="77777777" w:rsidR="00025FDE" w:rsidRPr="00D60FEB" w:rsidRDefault="00361BC5" w:rsidP="00025FDE">
      <w:pPr>
        <w:pStyle w:val="ListParagraph"/>
        <w:numPr>
          <w:ilvl w:val="0"/>
          <w:numId w:val="4"/>
        </w:numPr>
        <w:jc w:val="both"/>
        <w:rPr>
          <w:sz w:val="22"/>
          <w:szCs w:val="22"/>
        </w:rPr>
      </w:pPr>
      <w:r w:rsidRPr="00D60FEB">
        <w:rPr>
          <w:sz w:val="22"/>
          <w:szCs w:val="22"/>
        </w:rPr>
        <w:t>Allow members to make individual programme decisi</w:t>
      </w:r>
      <w:r w:rsidRPr="00D60FEB">
        <w:rPr>
          <w:sz w:val="22"/>
          <w:szCs w:val="22"/>
        </w:rPr>
        <w:t>ons in the context of the complete portfolio of Programmes.</w:t>
      </w:r>
    </w:p>
    <w:p w14:paraId="6B0D89D1" w14:textId="77777777" w:rsidR="00025FDE" w:rsidRPr="00D60FEB" w:rsidRDefault="00361BC5" w:rsidP="00025FDE">
      <w:pPr>
        <w:pStyle w:val="ListParagraph"/>
        <w:numPr>
          <w:ilvl w:val="0"/>
          <w:numId w:val="4"/>
        </w:numPr>
        <w:jc w:val="both"/>
        <w:rPr>
          <w:sz w:val="22"/>
          <w:szCs w:val="22"/>
        </w:rPr>
      </w:pPr>
      <w:r w:rsidRPr="00D60FEB">
        <w:rPr>
          <w:sz w:val="22"/>
          <w:szCs w:val="22"/>
        </w:rPr>
        <w:t>Assurance of the Performance of individual programmes for which the LEP is accountable to government for.</w:t>
      </w:r>
    </w:p>
    <w:p w14:paraId="016CFF15" w14:textId="77777777" w:rsidR="00025FDE" w:rsidRPr="00D60FEB" w:rsidRDefault="00361BC5" w:rsidP="00025FDE">
      <w:pPr>
        <w:pStyle w:val="ListParagraph"/>
        <w:numPr>
          <w:ilvl w:val="0"/>
          <w:numId w:val="4"/>
        </w:numPr>
        <w:jc w:val="both"/>
        <w:rPr>
          <w:sz w:val="22"/>
          <w:szCs w:val="22"/>
        </w:rPr>
      </w:pPr>
      <w:r w:rsidRPr="00D60FEB">
        <w:rPr>
          <w:sz w:val="22"/>
          <w:szCs w:val="22"/>
        </w:rPr>
        <w:t>Identify any programme risks and agree remedial actions.</w:t>
      </w:r>
    </w:p>
    <w:p w14:paraId="4D826853" w14:textId="77777777" w:rsidR="00025FDE" w:rsidRPr="00D60FEB" w:rsidRDefault="00025FDE" w:rsidP="00025FDE">
      <w:pPr>
        <w:ind w:left="0" w:firstLine="0"/>
        <w:jc w:val="both"/>
        <w:rPr>
          <w:sz w:val="22"/>
          <w:szCs w:val="22"/>
        </w:rPr>
      </w:pPr>
    </w:p>
    <w:p w14:paraId="1EE90BA0" w14:textId="77777777" w:rsidR="00025FDE" w:rsidRPr="00D60FEB" w:rsidRDefault="00361BC5" w:rsidP="00025FDE">
      <w:pPr>
        <w:rPr>
          <w:b/>
          <w:bCs/>
          <w:i/>
          <w:iCs/>
          <w:sz w:val="22"/>
          <w:szCs w:val="22"/>
        </w:rPr>
      </w:pPr>
      <w:r w:rsidRPr="00D60FEB">
        <w:rPr>
          <w:b/>
          <w:bCs/>
          <w:i/>
          <w:iCs/>
          <w:sz w:val="22"/>
          <w:szCs w:val="22"/>
        </w:rPr>
        <w:t>PERFORMANCE</w:t>
      </w:r>
    </w:p>
    <w:p w14:paraId="6D6FC566" w14:textId="77777777" w:rsidR="00025FDE" w:rsidRPr="00D60FEB" w:rsidRDefault="00025FDE" w:rsidP="00025FDE">
      <w:pPr>
        <w:rPr>
          <w:sz w:val="22"/>
          <w:szCs w:val="22"/>
        </w:rPr>
      </w:pPr>
    </w:p>
    <w:p w14:paraId="73F4D6CF" w14:textId="77777777" w:rsidR="00025FDE" w:rsidRPr="00D60FEB" w:rsidRDefault="00361BC5" w:rsidP="00025FDE">
      <w:pPr>
        <w:ind w:left="0" w:firstLine="0"/>
        <w:jc w:val="both"/>
        <w:rPr>
          <w:b/>
          <w:i/>
          <w:iCs/>
          <w:sz w:val="22"/>
          <w:szCs w:val="22"/>
        </w:rPr>
      </w:pPr>
      <w:r w:rsidRPr="00D60FEB">
        <w:rPr>
          <w:b/>
          <w:i/>
          <w:iCs/>
          <w:sz w:val="22"/>
          <w:szCs w:val="22"/>
        </w:rPr>
        <w:t xml:space="preserve">Programme Update Reports </w:t>
      </w:r>
    </w:p>
    <w:p w14:paraId="12E1ADAD" w14:textId="77777777" w:rsidR="00025FDE" w:rsidRPr="00D60FEB" w:rsidRDefault="00025FDE" w:rsidP="00025FDE">
      <w:pPr>
        <w:ind w:left="0" w:firstLine="0"/>
        <w:jc w:val="both"/>
        <w:rPr>
          <w:sz w:val="22"/>
          <w:szCs w:val="22"/>
        </w:rPr>
      </w:pPr>
    </w:p>
    <w:p w14:paraId="76D07DAB" w14:textId="77777777" w:rsidR="00025FDE" w:rsidRPr="00D60FEB" w:rsidRDefault="00361BC5" w:rsidP="00025FDE">
      <w:pPr>
        <w:ind w:left="0" w:firstLine="0"/>
        <w:jc w:val="both"/>
        <w:rPr>
          <w:sz w:val="22"/>
          <w:szCs w:val="22"/>
        </w:rPr>
      </w:pPr>
      <w:r w:rsidRPr="00D60FEB">
        <w:rPr>
          <w:sz w:val="22"/>
          <w:szCs w:val="22"/>
        </w:rPr>
        <w:t>Please find attached at Appendices A–L updates for each of the LEP programmes as detailed below:</w:t>
      </w:r>
    </w:p>
    <w:p w14:paraId="3771EF53" w14:textId="77777777" w:rsidR="00025FDE" w:rsidRPr="00D60FEB" w:rsidRDefault="00025FDE" w:rsidP="00025FDE">
      <w:pPr>
        <w:pStyle w:val="ListParagraph"/>
        <w:spacing w:line="247" w:lineRule="auto"/>
        <w:ind w:left="360" w:firstLine="0"/>
        <w:jc w:val="both"/>
        <w:rPr>
          <w:rFonts w:eastAsiaTheme="minorHAnsi"/>
          <w:color w:val="auto"/>
          <w:sz w:val="22"/>
          <w:szCs w:val="22"/>
        </w:rPr>
      </w:pPr>
    </w:p>
    <w:p w14:paraId="28F713B4" w14:textId="77777777" w:rsidR="00025FDE" w:rsidRPr="00D60FEB" w:rsidRDefault="00361BC5" w:rsidP="00025FDE">
      <w:pPr>
        <w:pStyle w:val="ListParagraph"/>
        <w:numPr>
          <w:ilvl w:val="0"/>
          <w:numId w:val="6"/>
        </w:numPr>
        <w:spacing w:line="247" w:lineRule="auto"/>
        <w:jc w:val="both"/>
        <w:rPr>
          <w:rFonts w:eastAsiaTheme="minorHAnsi"/>
          <w:color w:val="auto"/>
          <w:sz w:val="22"/>
          <w:szCs w:val="22"/>
        </w:rPr>
      </w:pPr>
      <w:r w:rsidRPr="00D60FEB">
        <w:rPr>
          <w:sz w:val="22"/>
          <w:szCs w:val="22"/>
        </w:rPr>
        <w:t xml:space="preserve">Boost – Lancashire Business Growth Hub </w:t>
      </w:r>
    </w:p>
    <w:p w14:paraId="29BB9DFC" w14:textId="77777777" w:rsidR="00025FDE" w:rsidRPr="00D60FEB" w:rsidRDefault="00361BC5" w:rsidP="00025FDE">
      <w:pPr>
        <w:pStyle w:val="ListParagraph"/>
        <w:numPr>
          <w:ilvl w:val="0"/>
          <w:numId w:val="5"/>
        </w:numPr>
        <w:spacing w:after="0" w:line="240" w:lineRule="auto"/>
        <w:rPr>
          <w:sz w:val="22"/>
          <w:szCs w:val="22"/>
        </w:rPr>
      </w:pPr>
      <w:r w:rsidRPr="00D60FEB">
        <w:rPr>
          <w:sz w:val="22"/>
          <w:szCs w:val="22"/>
        </w:rPr>
        <w:t xml:space="preserve">City Deal </w:t>
      </w:r>
    </w:p>
    <w:p w14:paraId="1DA88BDD" w14:textId="77777777" w:rsidR="00025FDE" w:rsidRPr="00D60FEB" w:rsidRDefault="00361BC5" w:rsidP="00025FDE">
      <w:pPr>
        <w:pStyle w:val="ListParagraph"/>
        <w:numPr>
          <w:ilvl w:val="0"/>
          <w:numId w:val="5"/>
        </w:numPr>
        <w:jc w:val="both"/>
        <w:rPr>
          <w:sz w:val="22"/>
          <w:szCs w:val="22"/>
        </w:rPr>
      </w:pPr>
      <w:r w:rsidRPr="00D60FEB">
        <w:rPr>
          <w:sz w:val="22"/>
          <w:szCs w:val="22"/>
        </w:rPr>
        <w:t>Enterprise Zones X 4</w:t>
      </w:r>
    </w:p>
    <w:p w14:paraId="660A636B" w14:textId="77777777" w:rsidR="00025FDE" w:rsidRPr="00D60FEB" w:rsidRDefault="00361BC5" w:rsidP="00025FDE">
      <w:pPr>
        <w:pStyle w:val="ListParagraph"/>
        <w:numPr>
          <w:ilvl w:val="0"/>
          <w:numId w:val="5"/>
        </w:numPr>
        <w:spacing w:after="0" w:line="240" w:lineRule="auto"/>
        <w:contextualSpacing w:val="0"/>
        <w:rPr>
          <w:sz w:val="22"/>
          <w:szCs w:val="22"/>
        </w:rPr>
      </w:pPr>
      <w:r w:rsidRPr="00D60FEB">
        <w:rPr>
          <w:sz w:val="22"/>
          <w:szCs w:val="22"/>
        </w:rPr>
        <w:t>Getting Building Fund</w:t>
      </w:r>
    </w:p>
    <w:p w14:paraId="3794DA4F" w14:textId="77777777" w:rsidR="00025FDE" w:rsidRPr="00D60FEB" w:rsidRDefault="00361BC5" w:rsidP="00025FDE">
      <w:pPr>
        <w:pStyle w:val="ListParagraph"/>
        <w:numPr>
          <w:ilvl w:val="0"/>
          <w:numId w:val="5"/>
        </w:numPr>
        <w:spacing w:after="0" w:line="240" w:lineRule="auto"/>
        <w:contextualSpacing w:val="0"/>
        <w:rPr>
          <w:sz w:val="22"/>
          <w:szCs w:val="22"/>
        </w:rPr>
      </w:pPr>
      <w:r w:rsidRPr="00D60FEB">
        <w:rPr>
          <w:sz w:val="22"/>
          <w:szCs w:val="22"/>
        </w:rPr>
        <w:t xml:space="preserve">Growing Places </w:t>
      </w:r>
    </w:p>
    <w:p w14:paraId="6487EBC1" w14:textId="77777777" w:rsidR="00025FDE" w:rsidRPr="00D60FEB" w:rsidRDefault="00361BC5" w:rsidP="00025FDE">
      <w:pPr>
        <w:pStyle w:val="ListParagraph"/>
        <w:numPr>
          <w:ilvl w:val="0"/>
          <w:numId w:val="5"/>
        </w:numPr>
        <w:spacing w:after="0" w:line="240" w:lineRule="auto"/>
        <w:contextualSpacing w:val="0"/>
        <w:rPr>
          <w:sz w:val="22"/>
          <w:szCs w:val="22"/>
        </w:rPr>
      </w:pPr>
      <w:r w:rsidRPr="00D60FEB">
        <w:rPr>
          <w:sz w:val="22"/>
          <w:szCs w:val="22"/>
        </w:rPr>
        <w:t>Growth Deal</w:t>
      </w:r>
    </w:p>
    <w:p w14:paraId="4D6C29E6" w14:textId="07C39138" w:rsidR="00025FDE" w:rsidRPr="00D60FEB" w:rsidRDefault="00361BC5" w:rsidP="00025FDE">
      <w:pPr>
        <w:pStyle w:val="ListParagraph"/>
        <w:numPr>
          <w:ilvl w:val="0"/>
          <w:numId w:val="5"/>
        </w:numPr>
        <w:spacing w:after="0" w:line="240" w:lineRule="auto"/>
        <w:contextualSpacing w:val="0"/>
        <w:rPr>
          <w:sz w:val="22"/>
          <w:szCs w:val="22"/>
        </w:rPr>
      </w:pPr>
      <w:r w:rsidRPr="00D60FEB">
        <w:rPr>
          <w:sz w:val="22"/>
          <w:szCs w:val="22"/>
        </w:rPr>
        <w:t>Inward Investment</w:t>
      </w:r>
      <w:r>
        <w:rPr>
          <w:sz w:val="22"/>
          <w:szCs w:val="22"/>
        </w:rPr>
        <w:t xml:space="preserve"> (This appendix is Private and Confidential and will be discussed under Part II of the agenda)</w:t>
      </w:r>
    </w:p>
    <w:p w14:paraId="49902DC7" w14:textId="77777777" w:rsidR="00025FDE" w:rsidRPr="00D60FEB" w:rsidRDefault="00361BC5" w:rsidP="00025FDE">
      <w:pPr>
        <w:pStyle w:val="ListParagraph"/>
        <w:numPr>
          <w:ilvl w:val="0"/>
          <w:numId w:val="5"/>
        </w:numPr>
        <w:spacing w:after="0" w:line="240" w:lineRule="auto"/>
        <w:contextualSpacing w:val="0"/>
        <w:rPr>
          <w:sz w:val="22"/>
          <w:szCs w:val="22"/>
        </w:rPr>
      </w:pPr>
      <w:r w:rsidRPr="00D60FEB">
        <w:rPr>
          <w:sz w:val="22"/>
          <w:szCs w:val="22"/>
        </w:rPr>
        <w:t xml:space="preserve">Lancashire Skills and Employment Hub </w:t>
      </w:r>
    </w:p>
    <w:p w14:paraId="3B39013D" w14:textId="74A6C351" w:rsidR="00025FDE" w:rsidRDefault="00361BC5" w:rsidP="00025FDE">
      <w:pPr>
        <w:pStyle w:val="ListParagraph"/>
        <w:numPr>
          <w:ilvl w:val="0"/>
          <w:numId w:val="5"/>
        </w:numPr>
        <w:spacing w:after="0" w:line="240" w:lineRule="auto"/>
        <w:contextualSpacing w:val="0"/>
        <w:rPr>
          <w:sz w:val="22"/>
          <w:szCs w:val="22"/>
        </w:rPr>
      </w:pPr>
      <w:r w:rsidRPr="00D60FEB">
        <w:rPr>
          <w:sz w:val="22"/>
          <w:szCs w:val="22"/>
        </w:rPr>
        <w:lastRenderedPageBreak/>
        <w:t>Social Value</w:t>
      </w:r>
    </w:p>
    <w:p w14:paraId="3CA0008C" w14:textId="77777777" w:rsidR="00361BC5" w:rsidRPr="00D60FEB" w:rsidRDefault="00361BC5" w:rsidP="00361BC5">
      <w:pPr>
        <w:pStyle w:val="ListParagraph"/>
        <w:spacing w:after="0" w:line="240" w:lineRule="auto"/>
        <w:ind w:left="360" w:firstLine="0"/>
        <w:contextualSpacing w:val="0"/>
        <w:rPr>
          <w:sz w:val="22"/>
          <w:szCs w:val="22"/>
        </w:rPr>
      </w:pPr>
    </w:p>
    <w:p w14:paraId="14F141C0" w14:textId="77777777" w:rsidR="00025FDE" w:rsidRPr="00D60FEB" w:rsidRDefault="00361BC5" w:rsidP="00025FDE">
      <w:pPr>
        <w:rPr>
          <w:b/>
          <w:bCs/>
          <w:i/>
          <w:iCs/>
          <w:sz w:val="22"/>
          <w:szCs w:val="22"/>
        </w:rPr>
      </w:pPr>
      <w:r w:rsidRPr="00D60FEB">
        <w:rPr>
          <w:b/>
          <w:bCs/>
          <w:i/>
          <w:iCs/>
          <w:sz w:val="22"/>
          <w:szCs w:val="22"/>
        </w:rPr>
        <w:t>Key Performance Indicators</w:t>
      </w:r>
    </w:p>
    <w:p w14:paraId="06742C42" w14:textId="77777777" w:rsidR="00025FDE" w:rsidRPr="00D60FEB" w:rsidRDefault="00361BC5" w:rsidP="00025FDE">
      <w:pPr>
        <w:pStyle w:val="NormalNumbered"/>
        <w:rPr>
          <w:rFonts w:cs="Arial"/>
          <w:sz w:val="22"/>
          <w:szCs w:val="22"/>
        </w:rPr>
      </w:pPr>
      <w:r w:rsidRPr="00D60FEB">
        <w:rPr>
          <w:rFonts w:cs="Arial"/>
          <w:sz w:val="22"/>
          <w:szCs w:val="22"/>
        </w:rPr>
        <w:t>The table below contains the combined current core KPIs for all the LEP programmes as sourced from the individual reports (Appendices A-L). Data is as at Qtr. 4</w:t>
      </w:r>
      <w:r w:rsidRPr="00D60FEB">
        <w:rPr>
          <w:rFonts w:cs="Arial"/>
          <w:sz w:val="22"/>
          <w:szCs w:val="22"/>
        </w:rPr>
        <w:t xml:space="preserve"> 2020/21 (31</w:t>
      </w:r>
      <w:r w:rsidRPr="00D60FEB">
        <w:rPr>
          <w:rFonts w:cs="Arial"/>
          <w:sz w:val="22"/>
          <w:szCs w:val="22"/>
          <w:vertAlign w:val="superscript"/>
        </w:rPr>
        <w:t>st</w:t>
      </w:r>
      <w:r w:rsidRPr="00D60FEB">
        <w:rPr>
          <w:rFonts w:cs="Arial"/>
          <w:sz w:val="22"/>
          <w:szCs w:val="22"/>
        </w:rPr>
        <w:t xml:space="preserve"> March 2021). Please refer to the individual programme reports and risk register, as contained in the appendices to this report, for the current performance and risk for the individual programmes. </w:t>
      </w:r>
    </w:p>
    <w:p w14:paraId="31D29AB9" w14:textId="77777777" w:rsidR="00025FDE" w:rsidRPr="00D60FEB" w:rsidRDefault="00361BC5" w:rsidP="00025FDE">
      <w:pPr>
        <w:spacing w:after="0" w:line="240" w:lineRule="auto"/>
        <w:ind w:left="0" w:firstLine="0"/>
        <w:jc w:val="both"/>
        <w:rPr>
          <w:rFonts w:eastAsia="Times New Roman"/>
          <w:b/>
          <w:bCs/>
          <w:sz w:val="22"/>
          <w:szCs w:val="22"/>
        </w:rPr>
      </w:pPr>
      <w:r w:rsidRPr="00D60FEB">
        <w:rPr>
          <w:rFonts w:eastAsia="Times New Roman"/>
          <w:b/>
          <w:bCs/>
          <w:sz w:val="22"/>
          <w:szCs w:val="22"/>
        </w:rPr>
        <w:t>Key Performance Indicator - Programmes Combi</w:t>
      </w:r>
      <w:r w:rsidRPr="00D60FEB">
        <w:rPr>
          <w:rFonts w:eastAsia="Times New Roman"/>
          <w:b/>
          <w:bCs/>
          <w:sz w:val="22"/>
          <w:szCs w:val="22"/>
        </w:rPr>
        <w:t>ned</w:t>
      </w:r>
    </w:p>
    <w:p w14:paraId="77866E44" w14:textId="77777777" w:rsidR="00025FDE" w:rsidRPr="00D60FEB" w:rsidRDefault="00025FDE" w:rsidP="00025FDE">
      <w:pPr>
        <w:spacing w:after="0" w:line="240" w:lineRule="auto"/>
        <w:ind w:left="0" w:firstLine="0"/>
        <w:jc w:val="both"/>
        <w:rPr>
          <w:rFonts w:eastAsia="Times New Roman"/>
          <w:b/>
          <w:bCs/>
          <w:sz w:val="22"/>
          <w:szCs w:val="22"/>
        </w:rPr>
      </w:pPr>
    </w:p>
    <w:tbl>
      <w:tblPr>
        <w:tblW w:w="9204" w:type="dxa"/>
        <w:tblLook w:val="04A0" w:firstRow="1" w:lastRow="0" w:firstColumn="1" w:lastColumn="0" w:noHBand="0" w:noVBand="1"/>
      </w:tblPr>
      <w:tblGrid>
        <w:gridCol w:w="5377"/>
        <w:gridCol w:w="1276"/>
        <w:gridCol w:w="1134"/>
        <w:gridCol w:w="1417"/>
      </w:tblGrid>
      <w:tr w:rsidR="00D4138C" w14:paraId="443187DA" w14:textId="77777777" w:rsidTr="00B3332B">
        <w:trPr>
          <w:trHeight w:val="288"/>
        </w:trPr>
        <w:tc>
          <w:tcPr>
            <w:tcW w:w="5377" w:type="dxa"/>
            <w:tcBorders>
              <w:top w:val="single" w:sz="8" w:space="0" w:color="auto"/>
              <w:left w:val="single" w:sz="8" w:space="0" w:color="auto"/>
              <w:bottom w:val="single" w:sz="4" w:space="0" w:color="auto"/>
              <w:right w:val="single" w:sz="8" w:space="0" w:color="auto"/>
            </w:tcBorders>
            <w:shd w:val="clear" w:color="000000" w:fill="FFFFFF"/>
            <w:vAlign w:val="bottom"/>
            <w:hideMark/>
          </w:tcPr>
          <w:p w14:paraId="7B411658" w14:textId="77777777" w:rsidR="00025FDE" w:rsidRPr="00D60FEB" w:rsidRDefault="00361BC5" w:rsidP="00B3332B">
            <w:pPr>
              <w:spacing w:after="0" w:line="240" w:lineRule="auto"/>
              <w:ind w:left="0" w:firstLine="0"/>
              <w:rPr>
                <w:rFonts w:eastAsia="Times New Roman"/>
                <w:b/>
                <w:bCs/>
                <w:sz w:val="22"/>
                <w:szCs w:val="22"/>
              </w:rPr>
            </w:pPr>
            <w:r w:rsidRPr="00D60FEB">
              <w:rPr>
                <w:rFonts w:eastAsia="Times New Roman"/>
                <w:b/>
                <w:bCs/>
                <w:sz w:val="22"/>
                <w:szCs w:val="22"/>
              </w:rPr>
              <w:t>Key Performance Indicator</w:t>
            </w:r>
          </w:p>
        </w:tc>
        <w:tc>
          <w:tcPr>
            <w:tcW w:w="1276" w:type="dxa"/>
            <w:tcBorders>
              <w:top w:val="single" w:sz="8" w:space="0" w:color="auto"/>
              <w:left w:val="nil"/>
              <w:bottom w:val="single" w:sz="4" w:space="0" w:color="auto"/>
              <w:right w:val="nil"/>
            </w:tcBorders>
            <w:shd w:val="clear" w:color="auto" w:fill="auto"/>
            <w:noWrap/>
            <w:vAlign w:val="bottom"/>
            <w:hideMark/>
          </w:tcPr>
          <w:p w14:paraId="0B0320B0" w14:textId="77777777" w:rsidR="00025FDE" w:rsidRPr="00D60FEB" w:rsidRDefault="00361BC5" w:rsidP="00B3332B">
            <w:pPr>
              <w:spacing w:after="0" w:line="240" w:lineRule="auto"/>
              <w:ind w:left="0" w:firstLine="0"/>
              <w:rPr>
                <w:rFonts w:eastAsia="Times New Roman"/>
                <w:b/>
                <w:bCs/>
                <w:sz w:val="22"/>
                <w:szCs w:val="22"/>
              </w:rPr>
            </w:pPr>
            <w:r w:rsidRPr="00D60FEB">
              <w:rPr>
                <w:rFonts w:eastAsia="Times New Roman"/>
                <w:b/>
                <w:bCs/>
                <w:sz w:val="22"/>
                <w:szCs w:val="22"/>
              </w:rPr>
              <w:t xml:space="preserve">Actuals </w:t>
            </w:r>
          </w:p>
        </w:tc>
        <w:tc>
          <w:tcPr>
            <w:tcW w:w="1134"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1209B703" w14:textId="77777777" w:rsidR="00025FDE" w:rsidRPr="00D60FEB" w:rsidRDefault="00361BC5" w:rsidP="00B3332B">
            <w:pPr>
              <w:spacing w:after="0" w:line="240" w:lineRule="auto"/>
              <w:ind w:left="0" w:firstLine="0"/>
              <w:rPr>
                <w:rFonts w:eastAsia="Times New Roman"/>
                <w:b/>
                <w:bCs/>
                <w:sz w:val="22"/>
                <w:szCs w:val="22"/>
              </w:rPr>
            </w:pPr>
            <w:r w:rsidRPr="00D60FEB">
              <w:rPr>
                <w:rFonts w:eastAsia="Times New Roman"/>
                <w:b/>
                <w:bCs/>
                <w:sz w:val="22"/>
                <w:szCs w:val="22"/>
              </w:rPr>
              <w:t>Forecast</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14:paraId="19BEB4FA" w14:textId="77777777" w:rsidR="00025FDE" w:rsidRPr="00D60FEB" w:rsidRDefault="00361BC5" w:rsidP="00B3332B">
            <w:pPr>
              <w:spacing w:after="0" w:line="240" w:lineRule="auto"/>
              <w:ind w:left="0" w:firstLine="0"/>
              <w:rPr>
                <w:rFonts w:eastAsia="Times New Roman"/>
                <w:b/>
                <w:bCs/>
                <w:sz w:val="22"/>
                <w:szCs w:val="22"/>
              </w:rPr>
            </w:pPr>
            <w:r w:rsidRPr="00D60FEB">
              <w:rPr>
                <w:rFonts w:eastAsia="Times New Roman"/>
                <w:b/>
                <w:bCs/>
                <w:sz w:val="22"/>
                <w:szCs w:val="22"/>
              </w:rPr>
              <w:t>% Achieved</w:t>
            </w:r>
          </w:p>
        </w:tc>
      </w:tr>
      <w:tr w:rsidR="00D4138C" w14:paraId="150A076A" w14:textId="77777777" w:rsidTr="00B3332B">
        <w:trPr>
          <w:trHeight w:val="288"/>
        </w:trPr>
        <w:tc>
          <w:tcPr>
            <w:tcW w:w="5377" w:type="dxa"/>
            <w:tcBorders>
              <w:top w:val="nil"/>
              <w:left w:val="single" w:sz="8" w:space="0" w:color="auto"/>
              <w:bottom w:val="single" w:sz="4" w:space="0" w:color="auto"/>
              <w:right w:val="single" w:sz="8" w:space="0" w:color="auto"/>
            </w:tcBorders>
            <w:shd w:val="clear" w:color="000000" w:fill="FFFFFF"/>
            <w:vAlign w:val="bottom"/>
            <w:hideMark/>
          </w:tcPr>
          <w:p w14:paraId="3B359667" w14:textId="77777777" w:rsidR="00025FDE" w:rsidRPr="00D60FEB" w:rsidRDefault="00361BC5" w:rsidP="00B3332B">
            <w:pPr>
              <w:spacing w:after="0" w:line="240" w:lineRule="auto"/>
              <w:ind w:left="0" w:firstLine="0"/>
              <w:rPr>
                <w:rFonts w:eastAsia="Times New Roman"/>
                <w:sz w:val="22"/>
                <w:szCs w:val="22"/>
              </w:rPr>
            </w:pPr>
            <w:r w:rsidRPr="00D60FEB">
              <w:rPr>
                <w:rFonts w:eastAsia="Times New Roman"/>
                <w:sz w:val="22"/>
                <w:szCs w:val="22"/>
              </w:rPr>
              <w:t>Capital Funding Invested £m</w:t>
            </w:r>
          </w:p>
        </w:tc>
        <w:tc>
          <w:tcPr>
            <w:tcW w:w="1276" w:type="dxa"/>
            <w:tcBorders>
              <w:top w:val="nil"/>
              <w:left w:val="nil"/>
              <w:bottom w:val="single" w:sz="4" w:space="0" w:color="auto"/>
              <w:right w:val="nil"/>
            </w:tcBorders>
            <w:shd w:val="clear" w:color="auto" w:fill="auto"/>
            <w:noWrap/>
            <w:vAlign w:val="bottom"/>
            <w:hideMark/>
          </w:tcPr>
          <w:p w14:paraId="11D7CFF4" w14:textId="77777777" w:rsidR="00025FDE" w:rsidRPr="00D60FEB" w:rsidRDefault="00361BC5" w:rsidP="00B3332B">
            <w:pPr>
              <w:spacing w:after="0" w:line="240" w:lineRule="auto"/>
              <w:ind w:left="0" w:firstLine="0"/>
              <w:jc w:val="right"/>
              <w:rPr>
                <w:rFonts w:eastAsia="Times New Roman"/>
                <w:sz w:val="22"/>
                <w:szCs w:val="22"/>
              </w:rPr>
            </w:pPr>
            <w:r w:rsidRPr="00D60FEB">
              <w:rPr>
                <w:rFonts w:eastAsia="Times New Roman"/>
                <w:sz w:val="22"/>
                <w:szCs w:val="22"/>
              </w:rPr>
              <w:t>£286.20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14:paraId="1F5171A6" w14:textId="77777777" w:rsidR="00025FDE" w:rsidRPr="00D60FEB" w:rsidRDefault="00361BC5" w:rsidP="00B3332B">
            <w:pPr>
              <w:spacing w:after="0" w:line="240" w:lineRule="auto"/>
              <w:ind w:left="0" w:firstLine="0"/>
              <w:jc w:val="right"/>
              <w:rPr>
                <w:rFonts w:eastAsia="Times New Roman"/>
                <w:color w:val="auto"/>
                <w:sz w:val="22"/>
                <w:szCs w:val="22"/>
              </w:rPr>
            </w:pPr>
            <w:r w:rsidRPr="00D60FEB">
              <w:rPr>
                <w:rFonts w:eastAsia="Times New Roman"/>
                <w:color w:val="auto"/>
                <w:sz w:val="22"/>
                <w:szCs w:val="22"/>
              </w:rPr>
              <w:t>£307.10</w:t>
            </w:r>
          </w:p>
        </w:tc>
        <w:tc>
          <w:tcPr>
            <w:tcW w:w="1417" w:type="dxa"/>
            <w:tcBorders>
              <w:top w:val="nil"/>
              <w:left w:val="nil"/>
              <w:bottom w:val="single" w:sz="4" w:space="0" w:color="auto"/>
              <w:right w:val="single" w:sz="8" w:space="0" w:color="auto"/>
            </w:tcBorders>
            <w:shd w:val="clear" w:color="000000" w:fill="FFFFFF"/>
            <w:noWrap/>
            <w:vAlign w:val="bottom"/>
            <w:hideMark/>
          </w:tcPr>
          <w:p w14:paraId="1281B504" w14:textId="77777777" w:rsidR="00025FDE" w:rsidRPr="00D60FEB" w:rsidRDefault="00361BC5" w:rsidP="00B3332B">
            <w:pPr>
              <w:spacing w:after="0" w:line="240" w:lineRule="auto"/>
              <w:ind w:left="0" w:firstLine="0"/>
              <w:jc w:val="right"/>
              <w:rPr>
                <w:rFonts w:eastAsia="Times New Roman"/>
                <w:sz w:val="22"/>
                <w:szCs w:val="22"/>
              </w:rPr>
            </w:pPr>
            <w:r w:rsidRPr="00D60FEB">
              <w:rPr>
                <w:rFonts w:eastAsia="Times New Roman"/>
                <w:sz w:val="22"/>
                <w:szCs w:val="22"/>
              </w:rPr>
              <w:t>93%</w:t>
            </w:r>
          </w:p>
        </w:tc>
      </w:tr>
      <w:tr w:rsidR="00D4138C" w14:paraId="04E8E57C" w14:textId="77777777" w:rsidTr="00B3332B">
        <w:trPr>
          <w:trHeight w:val="288"/>
        </w:trPr>
        <w:tc>
          <w:tcPr>
            <w:tcW w:w="5377" w:type="dxa"/>
            <w:tcBorders>
              <w:top w:val="nil"/>
              <w:left w:val="single" w:sz="8" w:space="0" w:color="auto"/>
              <w:bottom w:val="single" w:sz="4" w:space="0" w:color="auto"/>
              <w:right w:val="single" w:sz="8" w:space="0" w:color="auto"/>
            </w:tcBorders>
            <w:shd w:val="clear" w:color="000000" w:fill="FFFFFF"/>
            <w:vAlign w:val="bottom"/>
            <w:hideMark/>
          </w:tcPr>
          <w:p w14:paraId="3CCB2062" w14:textId="77777777" w:rsidR="00025FDE" w:rsidRPr="00D60FEB" w:rsidRDefault="00361BC5" w:rsidP="00B3332B">
            <w:pPr>
              <w:spacing w:after="0" w:line="240" w:lineRule="auto"/>
              <w:ind w:left="0" w:firstLine="0"/>
              <w:rPr>
                <w:rFonts w:eastAsia="Times New Roman"/>
                <w:sz w:val="22"/>
                <w:szCs w:val="22"/>
              </w:rPr>
            </w:pPr>
            <w:r w:rsidRPr="00D60FEB">
              <w:rPr>
                <w:rFonts w:eastAsia="Times New Roman"/>
                <w:sz w:val="22"/>
                <w:szCs w:val="22"/>
              </w:rPr>
              <w:t>Private Sector Investment £m</w:t>
            </w:r>
          </w:p>
        </w:tc>
        <w:tc>
          <w:tcPr>
            <w:tcW w:w="1276" w:type="dxa"/>
            <w:tcBorders>
              <w:top w:val="nil"/>
              <w:left w:val="nil"/>
              <w:bottom w:val="single" w:sz="4" w:space="0" w:color="auto"/>
              <w:right w:val="nil"/>
            </w:tcBorders>
            <w:shd w:val="clear" w:color="000000" w:fill="FFFFFF"/>
            <w:noWrap/>
            <w:vAlign w:val="bottom"/>
            <w:hideMark/>
          </w:tcPr>
          <w:p w14:paraId="57A63641" w14:textId="77777777" w:rsidR="00025FDE" w:rsidRPr="00D60FEB" w:rsidRDefault="00361BC5" w:rsidP="00B3332B">
            <w:pPr>
              <w:spacing w:after="0" w:line="240" w:lineRule="auto"/>
              <w:ind w:left="0" w:firstLine="0"/>
              <w:jc w:val="right"/>
              <w:rPr>
                <w:rFonts w:eastAsia="Times New Roman"/>
                <w:sz w:val="22"/>
                <w:szCs w:val="22"/>
              </w:rPr>
            </w:pPr>
            <w:r w:rsidRPr="00D60FEB">
              <w:rPr>
                <w:rFonts w:eastAsia="Times New Roman"/>
                <w:sz w:val="22"/>
                <w:szCs w:val="22"/>
              </w:rPr>
              <w:t>£201</w:t>
            </w:r>
          </w:p>
        </w:tc>
        <w:tc>
          <w:tcPr>
            <w:tcW w:w="1134" w:type="dxa"/>
            <w:tcBorders>
              <w:top w:val="nil"/>
              <w:left w:val="single" w:sz="8" w:space="0" w:color="auto"/>
              <w:bottom w:val="single" w:sz="4" w:space="0" w:color="auto"/>
              <w:right w:val="single" w:sz="8" w:space="0" w:color="auto"/>
            </w:tcBorders>
            <w:shd w:val="clear" w:color="000000" w:fill="FFFFFF"/>
            <w:noWrap/>
            <w:vAlign w:val="bottom"/>
            <w:hideMark/>
          </w:tcPr>
          <w:p w14:paraId="1E7C2F9C" w14:textId="77777777" w:rsidR="00025FDE" w:rsidRPr="00D60FEB" w:rsidRDefault="00361BC5" w:rsidP="00B3332B">
            <w:pPr>
              <w:spacing w:after="0" w:line="240" w:lineRule="auto"/>
              <w:ind w:left="0" w:firstLine="0"/>
              <w:jc w:val="right"/>
              <w:rPr>
                <w:rFonts w:eastAsia="Times New Roman"/>
                <w:color w:val="auto"/>
                <w:sz w:val="22"/>
                <w:szCs w:val="22"/>
              </w:rPr>
            </w:pPr>
            <w:r w:rsidRPr="00D60FEB">
              <w:rPr>
                <w:rFonts w:eastAsia="Times New Roman"/>
                <w:color w:val="auto"/>
                <w:sz w:val="22"/>
                <w:szCs w:val="22"/>
              </w:rPr>
              <w:t>£431</w:t>
            </w:r>
          </w:p>
        </w:tc>
        <w:tc>
          <w:tcPr>
            <w:tcW w:w="1417" w:type="dxa"/>
            <w:tcBorders>
              <w:top w:val="nil"/>
              <w:left w:val="nil"/>
              <w:bottom w:val="single" w:sz="4" w:space="0" w:color="auto"/>
              <w:right w:val="single" w:sz="8" w:space="0" w:color="auto"/>
            </w:tcBorders>
            <w:shd w:val="clear" w:color="000000" w:fill="FFFFFF"/>
            <w:noWrap/>
            <w:vAlign w:val="bottom"/>
            <w:hideMark/>
          </w:tcPr>
          <w:p w14:paraId="1D3B3EE7" w14:textId="77777777" w:rsidR="00025FDE" w:rsidRPr="00D60FEB" w:rsidRDefault="00361BC5" w:rsidP="00B3332B">
            <w:pPr>
              <w:spacing w:after="0" w:line="240" w:lineRule="auto"/>
              <w:ind w:left="0" w:firstLine="0"/>
              <w:jc w:val="right"/>
              <w:rPr>
                <w:rFonts w:eastAsia="Times New Roman"/>
                <w:sz w:val="22"/>
                <w:szCs w:val="22"/>
              </w:rPr>
            </w:pPr>
            <w:r w:rsidRPr="00D60FEB">
              <w:rPr>
                <w:rFonts w:eastAsia="Times New Roman"/>
                <w:sz w:val="22"/>
                <w:szCs w:val="22"/>
              </w:rPr>
              <w:t>47%</w:t>
            </w:r>
          </w:p>
        </w:tc>
      </w:tr>
      <w:tr w:rsidR="00D4138C" w14:paraId="0C1F15D0" w14:textId="77777777" w:rsidTr="00B3332B">
        <w:trPr>
          <w:trHeight w:val="288"/>
        </w:trPr>
        <w:tc>
          <w:tcPr>
            <w:tcW w:w="5377" w:type="dxa"/>
            <w:tcBorders>
              <w:top w:val="nil"/>
              <w:left w:val="single" w:sz="8" w:space="0" w:color="auto"/>
              <w:bottom w:val="single" w:sz="4" w:space="0" w:color="auto"/>
              <w:right w:val="single" w:sz="8" w:space="0" w:color="auto"/>
            </w:tcBorders>
            <w:shd w:val="clear" w:color="000000" w:fill="FFFFFF"/>
            <w:vAlign w:val="bottom"/>
            <w:hideMark/>
          </w:tcPr>
          <w:p w14:paraId="75B8770C" w14:textId="77777777" w:rsidR="00025FDE" w:rsidRPr="00D60FEB" w:rsidRDefault="00361BC5" w:rsidP="00B3332B">
            <w:pPr>
              <w:spacing w:after="0" w:line="240" w:lineRule="auto"/>
              <w:ind w:left="0" w:firstLine="0"/>
              <w:rPr>
                <w:rFonts w:eastAsia="Times New Roman"/>
                <w:sz w:val="22"/>
                <w:szCs w:val="22"/>
              </w:rPr>
            </w:pPr>
            <w:r w:rsidRPr="00D60FEB">
              <w:rPr>
                <w:rFonts w:eastAsia="Times New Roman"/>
                <w:sz w:val="22"/>
                <w:szCs w:val="22"/>
              </w:rPr>
              <w:t>Other Investment £m</w:t>
            </w:r>
          </w:p>
        </w:tc>
        <w:tc>
          <w:tcPr>
            <w:tcW w:w="1276" w:type="dxa"/>
            <w:tcBorders>
              <w:top w:val="nil"/>
              <w:left w:val="nil"/>
              <w:bottom w:val="single" w:sz="4" w:space="0" w:color="auto"/>
              <w:right w:val="nil"/>
            </w:tcBorders>
            <w:shd w:val="clear" w:color="000000" w:fill="FFFFFF"/>
            <w:noWrap/>
            <w:vAlign w:val="bottom"/>
            <w:hideMark/>
          </w:tcPr>
          <w:p w14:paraId="40BBFF9F" w14:textId="77777777" w:rsidR="00025FDE" w:rsidRPr="00D60FEB" w:rsidRDefault="00361BC5" w:rsidP="00B3332B">
            <w:pPr>
              <w:spacing w:after="0" w:line="240" w:lineRule="auto"/>
              <w:ind w:left="0" w:firstLine="0"/>
              <w:jc w:val="right"/>
              <w:rPr>
                <w:rFonts w:eastAsia="Times New Roman"/>
                <w:sz w:val="22"/>
                <w:szCs w:val="22"/>
              </w:rPr>
            </w:pPr>
            <w:r w:rsidRPr="00D60FEB">
              <w:rPr>
                <w:rFonts w:eastAsia="Times New Roman"/>
                <w:sz w:val="22"/>
                <w:szCs w:val="22"/>
              </w:rPr>
              <w:t>£411</w:t>
            </w:r>
          </w:p>
        </w:tc>
        <w:tc>
          <w:tcPr>
            <w:tcW w:w="1134" w:type="dxa"/>
            <w:tcBorders>
              <w:top w:val="nil"/>
              <w:left w:val="single" w:sz="8" w:space="0" w:color="auto"/>
              <w:bottom w:val="single" w:sz="4" w:space="0" w:color="auto"/>
              <w:right w:val="single" w:sz="8" w:space="0" w:color="auto"/>
            </w:tcBorders>
            <w:shd w:val="clear" w:color="000000" w:fill="FFFFFF"/>
            <w:noWrap/>
            <w:vAlign w:val="bottom"/>
            <w:hideMark/>
          </w:tcPr>
          <w:p w14:paraId="074A3EC6" w14:textId="77777777" w:rsidR="00025FDE" w:rsidRPr="00D60FEB" w:rsidRDefault="00361BC5" w:rsidP="00B3332B">
            <w:pPr>
              <w:spacing w:after="0" w:line="240" w:lineRule="auto"/>
              <w:ind w:left="0" w:firstLine="0"/>
              <w:jc w:val="right"/>
              <w:rPr>
                <w:rFonts w:eastAsia="Times New Roman"/>
                <w:color w:val="auto"/>
                <w:sz w:val="22"/>
                <w:szCs w:val="22"/>
              </w:rPr>
            </w:pPr>
            <w:r w:rsidRPr="00D60FEB">
              <w:rPr>
                <w:rFonts w:eastAsia="Times New Roman"/>
                <w:color w:val="auto"/>
                <w:sz w:val="22"/>
                <w:szCs w:val="22"/>
              </w:rPr>
              <w:t>£817</w:t>
            </w:r>
          </w:p>
        </w:tc>
        <w:tc>
          <w:tcPr>
            <w:tcW w:w="1417" w:type="dxa"/>
            <w:tcBorders>
              <w:top w:val="nil"/>
              <w:left w:val="nil"/>
              <w:bottom w:val="single" w:sz="4" w:space="0" w:color="auto"/>
              <w:right w:val="single" w:sz="8" w:space="0" w:color="auto"/>
            </w:tcBorders>
            <w:shd w:val="clear" w:color="000000" w:fill="FFFFFF"/>
            <w:noWrap/>
            <w:vAlign w:val="bottom"/>
            <w:hideMark/>
          </w:tcPr>
          <w:p w14:paraId="4656D466" w14:textId="77777777" w:rsidR="00025FDE" w:rsidRPr="00D60FEB" w:rsidRDefault="00361BC5" w:rsidP="00B3332B">
            <w:pPr>
              <w:spacing w:after="0" w:line="240" w:lineRule="auto"/>
              <w:ind w:left="0" w:firstLine="0"/>
              <w:jc w:val="right"/>
              <w:rPr>
                <w:rFonts w:eastAsia="Times New Roman"/>
                <w:sz w:val="22"/>
                <w:szCs w:val="22"/>
              </w:rPr>
            </w:pPr>
            <w:r w:rsidRPr="00D60FEB">
              <w:rPr>
                <w:rFonts w:eastAsia="Times New Roman"/>
                <w:sz w:val="22"/>
                <w:szCs w:val="22"/>
              </w:rPr>
              <w:t>50%</w:t>
            </w:r>
          </w:p>
        </w:tc>
      </w:tr>
      <w:tr w:rsidR="00D4138C" w14:paraId="10558C58" w14:textId="77777777" w:rsidTr="00B3332B">
        <w:trPr>
          <w:trHeight w:val="288"/>
        </w:trPr>
        <w:tc>
          <w:tcPr>
            <w:tcW w:w="5377" w:type="dxa"/>
            <w:tcBorders>
              <w:top w:val="nil"/>
              <w:left w:val="single" w:sz="8" w:space="0" w:color="auto"/>
              <w:bottom w:val="single" w:sz="4" w:space="0" w:color="auto"/>
              <w:right w:val="single" w:sz="8" w:space="0" w:color="auto"/>
            </w:tcBorders>
            <w:shd w:val="clear" w:color="000000" w:fill="FFFFFF"/>
            <w:vAlign w:val="bottom"/>
            <w:hideMark/>
          </w:tcPr>
          <w:p w14:paraId="1F948E5A" w14:textId="77777777" w:rsidR="00025FDE" w:rsidRPr="00D60FEB" w:rsidRDefault="00361BC5" w:rsidP="00B3332B">
            <w:pPr>
              <w:spacing w:after="0" w:line="240" w:lineRule="auto"/>
              <w:ind w:left="0" w:firstLine="0"/>
              <w:rPr>
                <w:rFonts w:eastAsia="Times New Roman"/>
                <w:sz w:val="22"/>
                <w:szCs w:val="22"/>
              </w:rPr>
            </w:pPr>
            <w:r w:rsidRPr="00D60FEB">
              <w:rPr>
                <w:rFonts w:eastAsia="Times New Roman"/>
                <w:sz w:val="22"/>
                <w:szCs w:val="22"/>
              </w:rPr>
              <w:t>Housing Units</w:t>
            </w:r>
          </w:p>
        </w:tc>
        <w:tc>
          <w:tcPr>
            <w:tcW w:w="1276" w:type="dxa"/>
            <w:tcBorders>
              <w:top w:val="nil"/>
              <w:left w:val="nil"/>
              <w:bottom w:val="single" w:sz="4" w:space="0" w:color="auto"/>
              <w:right w:val="nil"/>
            </w:tcBorders>
            <w:shd w:val="clear" w:color="auto" w:fill="auto"/>
            <w:noWrap/>
            <w:vAlign w:val="bottom"/>
            <w:hideMark/>
          </w:tcPr>
          <w:p w14:paraId="2125D89B" w14:textId="77777777" w:rsidR="00025FDE" w:rsidRPr="00D60FEB" w:rsidRDefault="00361BC5" w:rsidP="00B3332B">
            <w:pPr>
              <w:spacing w:after="0" w:line="240" w:lineRule="auto"/>
              <w:ind w:left="0" w:firstLine="0"/>
              <w:jc w:val="right"/>
              <w:rPr>
                <w:rFonts w:eastAsia="Times New Roman"/>
                <w:sz w:val="22"/>
                <w:szCs w:val="22"/>
              </w:rPr>
            </w:pPr>
            <w:r w:rsidRPr="00D60FEB">
              <w:rPr>
                <w:rFonts w:eastAsia="Times New Roman"/>
                <w:sz w:val="22"/>
                <w:szCs w:val="22"/>
              </w:rPr>
              <w:t>11991</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14:paraId="43F377D8" w14:textId="77777777" w:rsidR="00025FDE" w:rsidRPr="00D60FEB" w:rsidRDefault="00361BC5" w:rsidP="00B3332B">
            <w:pPr>
              <w:spacing w:after="0" w:line="240" w:lineRule="auto"/>
              <w:ind w:left="0" w:firstLine="0"/>
              <w:jc w:val="right"/>
              <w:rPr>
                <w:rFonts w:eastAsia="Times New Roman"/>
                <w:color w:val="auto"/>
                <w:sz w:val="22"/>
                <w:szCs w:val="22"/>
              </w:rPr>
            </w:pPr>
            <w:r w:rsidRPr="00D60FEB">
              <w:rPr>
                <w:rFonts w:eastAsia="Times New Roman"/>
                <w:color w:val="auto"/>
                <w:sz w:val="22"/>
                <w:szCs w:val="22"/>
              </w:rPr>
              <w:t>22326</w:t>
            </w:r>
          </w:p>
        </w:tc>
        <w:tc>
          <w:tcPr>
            <w:tcW w:w="1417" w:type="dxa"/>
            <w:tcBorders>
              <w:top w:val="nil"/>
              <w:left w:val="nil"/>
              <w:bottom w:val="single" w:sz="4" w:space="0" w:color="auto"/>
              <w:right w:val="single" w:sz="8" w:space="0" w:color="auto"/>
            </w:tcBorders>
            <w:shd w:val="clear" w:color="000000" w:fill="FFFFFF"/>
            <w:noWrap/>
            <w:vAlign w:val="bottom"/>
            <w:hideMark/>
          </w:tcPr>
          <w:p w14:paraId="6E496285" w14:textId="77777777" w:rsidR="00025FDE" w:rsidRPr="00D60FEB" w:rsidRDefault="00361BC5" w:rsidP="00B3332B">
            <w:pPr>
              <w:spacing w:after="0" w:line="240" w:lineRule="auto"/>
              <w:ind w:left="0" w:firstLine="0"/>
              <w:jc w:val="right"/>
              <w:rPr>
                <w:rFonts w:eastAsia="Times New Roman"/>
                <w:sz w:val="22"/>
                <w:szCs w:val="22"/>
              </w:rPr>
            </w:pPr>
            <w:r w:rsidRPr="00D60FEB">
              <w:rPr>
                <w:rFonts w:eastAsia="Times New Roman"/>
                <w:sz w:val="22"/>
                <w:szCs w:val="22"/>
              </w:rPr>
              <w:t>54%</w:t>
            </w:r>
          </w:p>
        </w:tc>
      </w:tr>
      <w:tr w:rsidR="00D4138C" w14:paraId="55D40719" w14:textId="77777777" w:rsidTr="00B3332B">
        <w:trPr>
          <w:trHeight w:val="288"/>
        </w:trPr>
        <w:tc>
          <w:tcPr>
            <w:tcW w:w="5377" w:type="dxa"/>
            <w:tcBorders>
              <w:top w:val="nil"/>
              <w:left w:val="single" w:sz="8" w:space="0" w:color="auto"/>
              <w:bottom w:val="single" w:sz="4" w:space="0" w:color="auto"/>
              <w:right w:val="single" w:sz="8" w:space="0" w:color="auto"/>
            </w:tcBorders>
            <w:shd w:val="clear" w:color="000000" w:fill="FFFFFF"/>
            <w:vAlign w:val="bottom"/>
            <w:hideMark/>
          </w:tcPr>
          <w:p w14:paraId="3CF5C18B" w14:textId="77777777" w:rsidR="00025FDE" w:rsidRPr="00D60FEB" w:rsidRDefault="00361BC5" w:rsidP="00B3332B">
            <w:pPr>
              <w:spacing w:after="0" w:line="240" w:lineRule="auto"/>
              <w:ind w:left="0" w:firstLine="0"/>
              <w:rPr>
                <w:rFonts w:eastAsia="Times New Roman"/>
                <w:sz w:val="22"/>
                <w:szCs w:val="22"/>
              </w:rPr>
            </w:pPr>
            <w:r w:rsidRPr="00D60FEB">
              <w:rPr>
                <w:rFonts w:eastAsia="Times New Roman"/>
                <w:sz w:val="22"/>
                <w:szCs w:val="22"/>
              </w:rPr>
              <w:t xml:space="preserve">Jobs Created / Jobs </w:t>
            </w:r>
            <w:r w:rsidRPr="00D60FEB">
              <w:rPr>
                <w:rFonts w:eastAsia="Times New Roman"/>
                <w:sz w:val="22"/>
                <w:szCs w:val="22"/>
              </w:rPr>
              <w:t>Safeguarded / Apprentices</w:t>
            </w:r>
          </w:p>
        </w:tc>
        <w:tc>
          <w:tcPr>
            <w:tcW w:w="1276" w:type="dxa"/>
            <w:tcBorders>
              <w:top w:val="nil"/>
              <w:left w:val="nil"/>
              <w:bottom w:val="single" w:sz="4" w:space="0" w:color="auto"/>
              <w:right w:val="nil"/>
            </w:tcBorders>
            <w:shd w:val="clear" w:color="auto" w:fill="auto"/>
            <w:noWrap/>
            <w:vAlign w:val="bottom"/>
            <w:hideMark/>
          </w:tcPr>
          <w:p w14:paraId="3B0EC677" w14:textId="77777777" w:rsidR="00025FDE" w:rsidRPr="00D60FEB" w:rsidRDefault="00361BC5" w:rsidP="00B3332B">
            <w:pPr>
              <w:spacing w:after="0" w:line="240" w:lineRule="auto"/>
              <w:ind w:left="0" w:firstLine="0"/>
              <w:jc w:val="right"/>
              <w:rPr>
                <w:rFonts w:eastAsia="Times New Roman"/>
                <w:sz w:val="22"/>
                <w:szCs w:val="22"/>
              </w:rPr>
            </w:pPr>
            <w:r w:rsidRPr="00D60FEB">
              <w:rPr>
                <w:rFonts w:eastAsia="Times New Roman"/>
                <w:sz w:val="22"/>
                <w:szCs w:val="22"/>
              </w:rPr>
              <w:t>29,836</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14:paraId="40E09C52" w14:textId="77777777" w:rsidR="00025FDE" w:rsidRPr="00D60FEB" w:rsidRDefault="00361BC5" w:rsidP="00B3332B">
            <w:pPr>
              <w:spacing w:after="0" w:line="240" w:lineRule="auto"/>
              <w:ind w:left="0" w:firstLine="0"/>
              <w:jc w:val="right"/>
              <w:rPr>
                <w:rFonts w:eastAsia="Times New Roman"/>
                <w:color w:val="auto"/>
                <w:sz w:val="22"/>
                <w:szCs w:val="22"/>
              </w:rPr>
            </w:pPr>
            <w:r w:rsidRPr="00D60FEB">
              <w:rPr>
                <w:rFonts w:eastAsia="Times New Roman"/>
                <w:color w:val="auto"/>
                <w:sz w:val="22"/>
                <w:szCs w:val="22"/>
              </w:rPr>
              <w:t>43,105</w:t>
            </w:r>
          </w:p>
        </w:tc>
        <w:tc>
          <w:tcPr>
            <w:tcW w:w="1417" w:type="dxa"/>
            <w:tcBorders>
              <w:top w:val="nil"/>
              <w:left w:val="nil"/>
              <w:bottom w:val="single" w:sz="4" w:space="0" w:color="auto"/>
              <w:right w:val="single" w:sz="8" w:space="0" w:color="auto"/>
            </w:tcBorders>
            <w:shd w:val="clear" w:color="000000" w:fill="FFFFFF"/>
            <w:noWrap/>
            <w:vAlign w:val="bottom"/>
            <w:hideMark/>
          </w:tcPr>
          <w:p w14:paraId="03D9CE82" w14:textId="77777777" w:rsidR="00025FDE" w:rsidRPr="00D60FEB" w:rsidRDefault="00361BC5" w:rsidP="00B3332B">
            <w:pPr>
              <w:spacing w:after="0" w:line="240" w:lineRule="auto"/>
              <w:ind w:left="0" w:firstLine="0"/>
              <w:jc w:val="right"/>
              <w:rPr>
                <w:rFonts w:eastAsia="Times New Roman"/>
                <w:sz w:val="22"/>
                <w:szCs w:val="22"/>
              </w:rPr>
            </w:pPr>
            <w:r w:rsidRPr="00D60FEB">
              <w:rPr>
                <w:rFonts w:eastAsia="Times New Roman"/>
                <w:sz w:val="22"/>
                <w:szCs w:val="22"/>
              </w:rPr>
              <w:t>69%</w:t>
            </w:r>
          </w:p>
        </w:tc>
      </w:tr>
      <w:tr w:rsidR="00D4138C" w14:paraId="7938DCA6" w14:textId="77777777" w:rsidTr="00B3332B">
        <w:trPr>
          <w:trHeight w:val="288"/>
        </w:trPr>
        <w:tc>
          <w:tcPr>
            <w:tcW w:w="5377" w:type="dxa"/>
            <w:tcBorders>
              <w:top w:val="nil"/>
              <w:left w:val="single" w:sz="8" w:space="0" w:color="auto"/>
              <w:bottom w:val="single" w:sz="4" w:space="0" w:color="auto"/>
              <w:right w:val="single" w:sz="8" w:space="0" w:color="auto"/>
            </w:tcBorders>
            <w:shd w:val="clear" w:color="000000" w:fill="FFFFFF"/>
            <w:vAlign w:val="bottom"/>
            <w:hideMark/>
          </w:tcPr>
          <w:p w14:paraId="42213AED" w14:textId="77777777" w:rsidR="00025FDE" w:rsidRPr="00D60FEB" w:rsidRDefault="00361BC5" w:rsidP="00B3332B">
            <w:pPr>
              <w:spacing w:after="0" w:line="240" w:lineRule="auto"/>
              <w:ind w:left="0" w:firstLine="0"/>
              <w:rPr>
                <w:rFonts w:eastAsia="Times New Roman"/>
                <w:sz w:val="22"/>
                <w:szCs w:val="22"/>
              </w:rPr>
            </w:pPr>
            <w:r w:rsidRPr="00D60FEB">
              <w:rPr>
                <w:rFonts w:eastAsia="Times New Roman"/>
                <w:sz w:val="22"/>
                <w:szCs w:val="22"/>
              </w:rPr>
              <w:t>Commercial floor space constructed or refurbished (sqm)</w:t>
            </w:r>
          </w:p>
        </w:tc>
        <w:tc>
          <w:tcPr>
            <w:tcW w:w="1276" w:type="dxa"/>
            <w:tcBorders>
              <w:top w:val="nil"/>
              <w:left w:val="nil"/>
              <w:bottom w:val="single" w:sz="4" w:space="0" w:color="auto"/>
              <w:right w:val="nil"/>
            </w:tcBorders>
            <w:shd w:val="clear" w:color="auto" w:fill="auto"/>
            <w:noWrap/>
            <w:vAlign w:val="bottom"/>
            <w:hideMark/>
          </w:tcPr>
          <w:p w14:paraId="0FDE5EB5" w14:textId="77777777" w:rsidR="00025FDE" w:rsidRPr="00D60FEB" w:rsidRDefault="00361BC5" w:rsidP="00B3332B">
            <w:pPr>
              <w:spacing w:after="0" w:line="240" w:lineRule="auto"/>
              <w:ind w:left="0" w:firstLine="0"/>
              <w:jc w:val="right"/>
              <w:rPr>
                <w:rFonts w:eastAsia="Times New Roman"/>
                <w:sz w:val="22"/>
                <w:szCs w:val="22"/>
              </w:rPr>
            </w:pPr>
            <w:r w:rsidRPr="00D60FEB">
              <w:rPr>
                <w:rFonts w:eastAsia="Times New Roman"/>
                <w:sz w:val="22"/>
                <w:szCs w:val="22"/>
              </w:rPr>
              <w:t>432,121</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14:paraId="60E3F99A" w14:textId="77777777" w:rsidR="00025FDE" w:rsidRPr="00D60FEB" w:rsidRDefault="00361BC5" w:rsidP="00B3332B">
            <w:pPr>
              <w:spacing w:after="0" w:line="240" w:lineRule="auto"/>
              <w:ind w:left="0" w:firstLine="0"/>
              <w:jc w:val="right"/>
              <w:rPr>
                <w:rFonts w:eastAsia="Times New Roman"/>
                <w:color w:val="auto"/>
                <w:sz w:val="22"/>
                <w:szCs w:val="22"/>
              </w:rPr>
            </w:pPr>
            <w:r w:rsidRPr="00D60FEB">
              <w:rPr>
                <w:rFonts w:eastAsia="Times New Roman"/>
                <w:color w:val="auto"/>
                <w:sz w:val="22"/>
                <w:szCs w:val="22"/>
              </w:rPr>
              <w:t>951,226</w:t>
            </w:r>
          </w:p>
        </w:tc>
        <w:tc>
          <w:tcPr>
            <w:tcW w:w="1417" w:type="dxa"/>
            <w:tcBorders>
              <w:top w:val="nil"/>
              <w:left w:val="nil"/>
              <w:bottom w:val="single" w:sz="4" w:space="0" w:color="auto"/>
              <w:right w:val="single" w:sz="8" w:space="0" w:color="auto"/>
            </w:tcBorders>
            <w:shd w:val="clear" w:color="000000" w:fill="FFFFFF"/>
            <w:noWrap/>
            <w:vAlign w:val="bottom"/>
            <w:hideMark/>
          </w:tcPr>
          <w:p w14:paraId="24EB7D76" w14:textId="77777777" w:rsidR="00025FDE" w:rsidRPr="00D60FEB" w:rsidRDefault="00361BC5" w:rsidP="00B3332B">
            <w:pPr>
              <w:spacing w:after="0" w:line="240" w:lineRule="auto"/>
              <w:ind w:left="0" w:firstLine="0"/>
              <w:jc w:val="right"/>
              <w:rPr>
                <w:rFonts w:eastAsia="Times New Roman"/>
                <w:sz w:val="22"/>
                <w:szCs w:val="22"/>
              </w:rPr>
            </w:pPr>
            <w:r w:rsidRPr="00D60FEB">
              <w:rPr>
                <w:rFonts w:eastAsia="Times New Roman"/>
                <w:sz w:val="22"/>
                <w:szCs w:val="22"/>
              </w:rPr>
              <w:t>45%</w:t>
            </w:r>
          </w:p>
        </w:tc>
      </w:tr>
      <w:tr w:rsidR="00D4138C" w14:paraId="31A78511" w14:textId="77777777" w:rsidTr="00B3332B">
        <w:trPr>
          <w:trHeight w:val="288"/>
        </w:trPr>
        <w:tc>
          <w:tcPr>
            <w:tcW w:w="5377" w:type="dxa"/>
            <w:tcBorders>
              <w:top w:val="nil"/>
              <w:left w:val="single" w:sz="8" w:space="0" w:color="auto"/>
              <w:bottom w:val="single" w:sz="4" w:space="0" w:color="auto"/>
              <w:right w:val="single" w:sz="8" w:space="0" w:color="auto"/>
            </w:tcBorders>
            <w:shd w:val="clear" w:color="000000" w:fill="FFFFFF"/>
            <w:vAlign w:val="bottom"/>
            <w:hideMark/>
          </w:tcPr>
          <w:p w14:paraId="1575C2C5" w14:textId="77777777" w:rsidR="00025FDE" w:rsidRPr="00D60FEB" w:rsidRDefault="00361BC5" w:rsidP="00B3332B">
            <w:pPr>
              <w:spacing w:after="0" w:line="240" w:lineRule="auto"/>
              <w:ind w:left="0" w:firstLine="0"/>
              <w:rPr>
                <w:rFonts w:eastAsia="Times New Roman"/>
                <w:sz w:val="22"/>
                <w:szCs w:val="22"/>
              </w:rPr>
            </w:pPr>
            <w:r w:rsidRPr="00D60FEB">
              <w:rPr>
                <w:rFonts w:eastAsia="Times New Roman"/>
                <w:sz w:val="22"/>
                <w:szCs w:val="22"/>
              </w:rPr>
              <w:t>New or Resurfaced Road (km)</w:t>
            </w:r>
          </w:p>
        </w:tc>
        <w:tc>
          <w:tcPr>
            <w:tcW w:w="1276" w:type="dxa"/>
            <w:tcBorders>
              <w:top w:val="nil"/>
              <w:left w:val="nil"/>
              <w:bottom w:val="single" w:sz="4" w:space="0" w:color="auto"/>
              <w:right w:val="nil"/>
            </w:tcBorders>
            <w:shd w:val="clear" w:color="auto" w:fill="auto"/>
            <w:noWrap/>
            <w:vAlign w:val="bottom"/>
            <w:hideMark/>
          </w:tcPr>
          <w:p w14:paraId="61BDB9C9" w14:textId="77777777" w:rsidR="00025FDE" w:rsidRPr="00D60FEB" w:rsidRDefault="00361BC5" w:rsidP="00B3332B">
            <w:pPr>
              <w:spacing w:after="0" w:line="240" w:lineRule="auto"/>
              <w:ind w:left="0" w:firstLine="0"/>
              <w:jc w:val="right"/>
              <w:rPr>
                <w:rFonts w:eastAsia="Times New Roman"/>
                <w:sz w:val="22"/>
                <w:szCs w:val="22"/>
              </w:rPr>
            </w:pPr>
            <w:r w:rsidRPr="00D60FEB">
              <w:rPr>
                <w:rFonts w:eastAsia="Times New Roman"/>
                <w:sz w:val="22"/>
                <w:szCs w:val="22"/>
              </w:rPr>
              <w:t>5</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14:paraId="468D3307" w14:textId="77777777" w:rsidR="00025FDE" w:rsidRPr="00D60FEB" w:rsidRDefault="00361BC5" w:rsidP="00B3332B">
            <w:pPr>
              <w:spacing w:after="0" w:line="240" w:lineRule="auto"/>
              <w:ind w:left="0" w:firstLine="0"/>
              <w:jc w:val="right"/>
              <w:rPr>
                <w:rFonts w:eastAsia="Times New Roman"/>
                <w:color w:val="auto"/>
                <w:sz w:val="22"/>
                <w:szCs w:val="22"/>
              </w:rPr>
            </w:pPr>
            <w:r w:rsidRPr="00D60FEB">
              <w:rPr>
                <w:rFonts w:eastAsia="Times New Roman"/>
                <w:color w:val="auto"/>
                <w:sz w:val="22"/>
                <w:szCs w:val="22"/>
              </w:rPr>
              <w:t>5</w:t>
            </w:r>
          </w:p>
        </w:tc>
        <w:tc>
          <w:tcPr>
            <w:tcW w:w="1417" w:type="dxa"/>
            <w:tcBorders>
              <w:top w:val="nil"/>
              <w:left w:val="nil"/>
              <w:bottom w:val="single" w:sz="4" w:space="0" w:color="auto"/>
              <w:right w:val="single" w:sz="8" w:space="0" w:color="auto"/>
            </w:tcBorders>
            <w:shd w:val="clear" w:color="000000" w:fill="FFFFFF"/>
            <w:noWrap/>
            <w:vAlign w:val="bottom"/>
            <w:hideMark/>
          </w:tcPr>
          <w:p w14:paraId="31EB79AC" w14:textId="77777777" w:rsidR="00025FDE" w:rsidRPr="00D60FEB" w:rsidRDefault="00361BC5" w:rsidP="00B3332B">
            <w:pPr>
              <w:spacing w:after="0" w:line="240" w:lineRule="auto"/>
              <w:ind w:left="0" w:firstLine="0"/>
              <w:jc w:val="right"/>
              <w:rPr>
                <w:rFonts w:eastAsia="Times New Roman"/>
                <w:sz w:val="22"/>
                <w:szCs w:val="22"/>
              </w:rPr>
            </w:pPr>
            <w:r w:rsidRPr="00D60FEB">
              <w:rPr>
                <w:rFonts w:eastAsia="Times New Roman"/>
                <w:sz w:val="22"/>
                <w:szCs w:val="22"/>
              </w:rPr>
              <w:t>100%</w:t>
            </w:r>
          </w:p>
        </w:tc>
      </w:tr>
      <w:tr w:rsidR="00D4138C" w14:paraId="1D57E872" w14:textId="77777777" w:rsidTr="00B3332B">
        <w:trPr>
          <w:trHeight w:val="288"/>
        </w:trPr>
        <w:tc>
          <w:tcPr>
            <w:tcW w:w="5377" w:type="dxa"/>
            <w:tcBorders>
              <w:top w:val="nil"/>
              <w:left w:val="single" w:sz="8" w:space="0" w:color="auto"/>
              <w:bottom w:val="single" w:sz="4" w:space="0" w:color="auto"/>
              <w:right w:val="single" w:sz="8" w:space="0" w:color="auto"/>
            </w:tcBorders>
            <w:shd w:val="clear" w:color="000000" w:fill="FFFFFF"/>
            <w:vAlign w:val="bottom"/>
            <w:hideMark/>
          </w:tcPr>
          <w:p w14:paraId="02A89EE4" w14:textId="77777777" w:rsidR="00025FDE" w:rsidRPr="00D60FEB" w:rsidRDefault="00361BC5" w:rsidP="00B3332B">
            <w:pPr>
              <w:spacing w:after="0" w:line="240" w:lineRule="auto"/>
              <w:ind w:left="0" w:firstLine="0"/>
              <w:rPr>
                <w:rFonts w:eastAsia="Times New Roman"/>
                <w:sz w:val="22"/>
                <w:szCs w:val="22"/>
              </w:rPr>
            </w:pPr>
            <w:r w:rsidRPr="00D60FEB">
              <w:rPr>
                <w:rFonts w:eastAsia="Times New Roman"/>
                <w:sz w:val="22"/>
                <w:szCs w:val="22"/>
              </w:rPr>
              <w:t>New or improved cycle ways (km)</w:t>
            </w:r>
          </w:p>
        </w:tc>
        <w:tc>
          <w:tcPr>
            <w:tcW w:w="1276" w:type="dxa"/>
            <w:tcBorders>
              <w:top w:val="nil"/>
              <w:left w:val="nil"/>
              <w:bottom w:val="single" w:sz="4" w:space="0" w:color="auto"/>
              <w:right w:val="nil"/>
            </w:tcBorders>
            <w:shd w:val="clear" w:color="auto" w:fill="auto"/>
            <w:noWrap/>
            <w:vAlign w:val="bottom"/>
            <w:hideMark/>
          </w:tcPr>
          <w:p w14:paraId="19E44FC5" w14:textId="77777777" w:rsidR="00025FDE" w:rsidRPr="00D60FEB" w:rsidRDefault="00361BC5" w:rsidP="00B3332B">
            <w:pPr>
              <w:spacing w:after="0" w:line="240" w:lineRule="auto"/>
              <w:ind w:left="0" w:firstLine="0"/>
              <w:jc w:val="right"/>
              <w:rPr>
                <w:rFonts w:eastAsia="Times New Roman"/>
                <w:sz w:val="22"/>
                <w:szCs w:val="22"/>
              </w:rPr>
            </w:pPr>
            <w:r w:rsidRPr="00D60FEB">
              <w:rPr>
                <w:rFonts w:eastAsia="Times New Roman"/>
                <w:sz w:val="22"/>
                <w:szCs w:val="22"/>
              </w:rPr>
              <w:t>20.57</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14:paraId="66D50239" w14:textId="77777777" w:rsidR="00025FDE" w:rsidRPr="00D60FEB" w:rsidRDefault="00361BC5" w:rsidP="00B3332B">
            <w:pPr>
              <w:spacing w:after="0" w:line="240" w:lineRule="auto"/>
              <w:ind w:left="0" w:firstLine="0"/>
              <w:jc w:val="right"/>
              <w:rPr>
                <w:rFonts w:eastAsia="Times New Roman"/>
                <w:color w:val="auto"/>
                <w:sz w:val="22"/>
                <w:szCs w:val="22"/>
              </w:rPr>
            </w:pPr>
            <w:r w:rsidRPr="00D60FEB">
              <w:rPr>
                <w:rFonts w:eastAsia="Times New Roman"/>
                <w:color w:val="auto"/>
                <w:sz w:val="22"/>
                <w:szCs w:val="22"/>
              </w:rPr>
              <w:t>28.1</w:t>
            </w:r>
          </w:p>
        </w:tc>
        <w:tc>
          <w:tcPr>
            <w:tcW w:w="1417" w:type="dxa"/>
            <w:tcBorders>
              <w:top w:val="nil"/>
              <w:left w:val="nil"/>
              <w:bottom w:val="single" w:sz="4" w:space="0" w:color="auto"/>
              <w:right w:val="single" w:sz="8" w:space="0" w:color="auto"/>
            </w:tcBorders>
            <w:shd w:val="clear" w:color="000000" w:fill="FFFFFF"/>
            <w:noWrap/>
            <w:vAlign w:val="bottom"/>
            <w:hideMark/>
          </w:tcPr>
          <w:p w14:paraId="14C32465" w14:textId="77777777" w:rsidR="00025FDE" w:rsidRPr="00D60FEB" w:rsidRDefault="00361BC5" w:rsidP="00B3332B">
            <w:pPr>
              <w:spacing w:after="0" w:line="240" w:lineRule="auto"/>
              <w:ind w:left="0" w:firstLine="0"/>
              <w:jc w:val="right"/>
              <w:rPr>
                <w:rFonts w:eastAsia="Times New Roman"/>
                <w:sz w:val="22"/>
                <w:szCs w:val="22"/>
              </w:rPr>
            </w:pPr>
            <w:r w:rsidRPr="00D60FEB">
              <w:rPr>
                <w:rFonts w:eastAsia="Times New Roman"/>
                <w:sz w:val="22"/>
                <w:szCs w:val="22"/>
              </w:rPr>
              <w:t>73%</w:t>
            </w:r>
          </w:p>
        </w:tc>
      </w:tr>
      <w:tr w:rsidR="00D4138C" w14:paraId="2AC42FD6" w14:textId="77777777" w:rsidTr="00B3332B">
        <w:trPr>
          <w:trHeight w:val="288"/>
        </w:trPr>
        <w:tc>
          <w:tcPr>
            <w:tcW w:w="5377" w:type="dxa"/>
            <w:tcBorders>
              <w:top w:val="nil"/>
              <w:left w:val="single" w:sz="8" w:space="0" w:color="auto"/>
              <w:bottom w:val="single" w:sz="4" w:space="0" w:color="auto"/>
              <w:right w:val="single" w:sz="8" w:space="0" w:color="auto"/>
            </w:tcBorders>
            <w:shd w:val="clear" w:color="000000" w:fill="FFFFFF"/>
            <w:vAlign w:val="bottom"/>
            <w:hideMark/>
          </w:tcPr>
          <w:p w14:paraId="507D2844" w14:textId="77777777" w:rsidR="00025FDE" w:rsidRPr="00D60FEB" w:rsidRDefault="00361BC5" w:rsidP="00B3332B">
            <w:pPr>
              <w:spacing w:after="0" w:line="240" w:lineRule="auto"/>
              <w:ind w:left="0" w:firstLine="0"/>
              <w:rPr>
                <w:rFonts w:eastAsia="Times New Roman"/>
                <w:sz w:val="22"/>
                <w:szCs w:val="22"/>
              </w:rPr>
            </w:pPr>
            <w:r w:rsidRPr="00D60FEB">
              <w:rPr>
                <w:rFonts w:eastAsia="Times New Roman"/>
                <w:sz w:val="22"/>
                <w:szCs w:val="22"/>
              </w:rPr>
              <w:t xml:space="preserve">New or Improved Training learning </w:t>
            </w:r>
            <w:r w:rsidRPr="00D60FEB">
              <w:rPr>
                <w:rFonts w:eastAsia="Times New Roman"/>
                <w:sz w:val="22"/>
                <w:szCs w:val="22"/>
              </w:rPr>
              <w:t>facility (sqm)</w:t>
            </w:r>
          </w:p>
        </w:tc>
        <w:tc>
          <w:tcPr>
            <w:tcW w:w="1276" w:type="dxa"/>
            <w:tcBorders>
              <w:top w:val="nil"/>
              <w:left w:val="nil"/>
              <w:bottom w:val="single" w:sz="4" w:space="0" w:color="auto"/>
              <w:right w:val="nil"/>
            </w:tcBorders>
            <w:shd w:val="clear" w:color="auto" w:fill="auto"/>
            <w:noWrap/>
            <w:vAlign w:val="bottom"/>
            <w:hideMark/>
          </w:tcPr>
          <w:p w14:paraId="6C7EA426" w14:textId="77777777" w:rsidR="00025FDE" w:rsidRPr="00D60FEB" w:rsidRDefault="00361BC5" w:rsidP="00B3332B">
            <w:pPr>
              <w:spacing w:after="0" w:line="240" w:lineRule="auto"/>
              <w:ind w:left="0" w:firstLine="0"/>
              <w:jc w:val="right"/>
              <w:rPr>
                <w:rFonts w:eastAsia="Times New Roman"/>
                <w:sz w:val="22"/>
                <w:szCs w:val="22"/>
              </w:rPr>
            </w:pPr>
            <w:r w:rsidRPr="00D60FEB">
              <w:rPr>
                <w:rFonts w:eastAsia="Times New Roman"/>
                <w:sz w:val="22"/>
                <w:szCs w:val="22"/>
              </w:rPr>
              <w:t>42963</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14:paraId="516C31C7" w14:textId="77777777" w:rsidR="00025FDE" w:rsidRPr="00D60FEB" w:rsidRDefault="00361BC5" w:rsidP="00B3332B">
            <w:pPr>
              <w:spacing w:after="0" w:line="240" w:lineRule="auto"/>
              <w:ind w:left="0" w:firstLine="0"/>
              <w:jc w:val="right"/>
              <w:rPr>
                <w:rFonts w:eastAsia="Times New Roman"/>
                <w:color w:val="auto"/>
                <w:sz w:val="22"/>
                <w:szCs w:val="22"/>
              </w:rPr>
            </w:pPr>
            <w:r w:rsidRPr="00D60FEB">
              <w:rPr>
                <w:rFonts w:eastAsia="Times New Roman"/>
                <w:color w:val="auto"/>
                <w:sz w:val="22"/>
                <w:szCs w:val="22"/>
              </w:rPr>
              <w:t>42969</w:t>
            </w:r>
          </w:p>
        </w:tc>
        <w:tc>
          <w:tcPr>
            <w:tcW w:w="1417" w:type="dxa"/>
            <w:tcBorders>
              <w:top w:val="nil"/>
              <w:left w:val="nil"/>
              <w:bottom w:val="single" w:sz="4" w:space="0" w:color="auto"/>
              <w:right w:val="single" w:sz="8" w:space="0" w:color="auto"/>
            </w:tcBorders>
            <w:shd w:val="clear" w:color="000000" w:fill="FFFFFF"/>
            <w:noWrap/>
            <w:vAlign w:val="bottom"/>
            <w:hideMark/>
          </w:tcPr>
          <w:p w14:paraId="3EBE6F64" w14:textId="77777777" w:rsidR="00025FDE" w:rsidRPr="00D60FEB" w:rsidRDefault="00361BC5" w:rsidP="00B3332B">
            <w:pPr>
              <w:spacing w:after="0" w:line="240" w:lineRule="auto"/>
              <w:ind w:left="0" w:firstLine="0"/>
              <w:jc w:val="right"/>
              <w:rPr>
                <w:rFonts w:eastAsia="Times New Roman"/>
                <w:sz w:val="22"/>
                <w:szCs w:val="22"/>
              </w:rPr>
            </w:pPr>
            <w:r w:rsidRPr="00D60FEB">
              <w:rPr>
                <w:rFonts w:eastAsia="Times New Roman"/>
                <w:sz w:val="22"/>
                <w:szCs w:val="22"/>
              </w:rPr>
              <w:t>100%</w:t>
            </w:r>
          </w:p>
        </w:tc>
      </w:tr>
      <w:tr w:rsidR="00D4138C" w14:paraId="14F8E87D" w14:textId="77777777" w:rsidTr="00B3332B">
        <w:trPr>
          <w:trHeight w:val="288"/>
        </w:trPr>
        <w:tc>
          <w:tcPr>
            <w:tcW w:w="5377" w:type="dxa"/>
            <w:tcBorders>
              <w:top w:val="nil"/>
              <w:left w:val="single" w:sz="8" w:space="0" w:color="auto"/>
              <w:bottom w:val="single" w:sz="4" w:space="0" w:color="auto"/>
              <w:right w:val="single" w:sz="8" w:space="0" w:color="auto"/>
            </w:tcBorders>
            <w:shd w:val="clear" w:color="000000" w:fill="FFFFFF"/>
            <w:vAlign w:val="bottom"/>
            <w:hideMark/>
          </w:tcPr>
          <w:p w14:paraId="436BFCC8" w14:textId="77777777" w:rsidR="00025FDE" w:rsidRPr="00D60FEB" w:rsidRDefault="00361BC5" w:rsidP="00B3332B">
            <w:pPr>
              <w:spacing w:after="0" w:line="240" w:lineRule="auto"/>
              <w:ind w:left="0" w:firstLine="0"/>
              <w:rPr>
                <w:rFonts w:eastAsia="Times New Roman"/>
                <w:sz w:val="22"/>
                <w:szCs w:val="22"/>
              </w:rPr>
            </w:pPr>
            <w:r w:rsidRPr="00D60FEB">
              <w:rPr>
                <w:rFonts w:eastAsia="Times New Roman"/>
                <w:sz w:val="22"/>
                <w:szCs w:val="22"/>
              </w:rPr>
              <w:t>Additional Leaners leading to qualification (up to L4)</w:t>
            </w:r>
          </w:p>
        </w:tc>
        <w:tc>
          <w:tcPr>
            <w:tcW w:w="1276" w:type="dxa"/>
            <w:tcBorders>
              <w:top w:val="nil"/>
              <w:left w:val="nil"/>
              <w:bottom w:val="single" w:sz="4" w:space="0" w:color="auto"/>
              <w:right w:val="nil"/>
            </w:tcBorders>
            <w:shd w:val="clear" w:color="auto" w:fill="auto"/>
            <w:noWrap/>
            <w:vAlign w:val="bottom"/>
            <w:hideMark/>
          </w:tcPr>
          <w:p w14:paraId="20CD6EE8" w14:textId="77777777" w:rsidR="00025FDE" w:rsidRPr="00D60FEB" w:rsidRDefault="00361BC5" w:rsidP="00B3332B">
            <w:pPr>
              <w:spacing w:after="0" w:line="240" w:lineRule="auto"/>
              <w:ind w:left="0" w:firstLine="0"/>
              <w:jc w:val="right"/>
              <w:rPr>
                <w:rFonts w:eastAsia="Times New Roman"/>
                <w:sz w:val="22"/>
                <w:szCs w:val="22"/>
              </w:rPr>
            </w:pPr>
            <w:r w:rsidRPr="00D60FEB">
              <w:rPr>
                <w:rFonts w:eastAsia="Times New Roman"/>
                <w:sz w:val="22"/>
                <w:szCs w:val="22"/>
              </w:rPr>
              <w:t>11853</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14:paraId="0424837D" w14:textId="77777777" w:rsidR="00025FDE" w:rsidRPr="00D60FEB" w:rsidRDefault="00361BC5" w:rsidP="00B3332B">
            <w:pPr>
              <w:spacing w:after="0" w:line="240" w:lineRule="auto"/>
              <w:ind w:left="0" w:firstLine="0"/>
              <w:jc w:val="right"/>
              <w:rPr>
                <w:rFonts w:eastAsia="Times New Roman"/>
                <w:color w:val="auto"/>
                <w:sz w:val="22"/>
                <w:szCs w:val="22"/>
              </w:rPr>
            </w:pPr>
            <w:r w:rsidRPr="00D60FEB">
              <w:rPr>
                <w:rFonts w:eastAsia="Times New Roman"/>
                <w:color w:val="auto"/>
                <w:sz w:val="22"/>
                <w:szCs w:val="22"/>
              </w:rPr>
              <w:t>10793</w:t>
            </w:r>
          </w:p>
        </w:tc>
        <w:tc>
          <w:tcPr>
            <w:tcW w:w="1417" w:type="dxa"/>
            <w:tcBorders>
              <w:top w:val="nil"/>
              <w:left w:val="nil"/>
              <w:bottom w:val="single" w:sz="4" w:space="0" w:color="auto"/>
              <w:right w:val="single" w:sz="8" w:space="0" w:color="auto"/>
            </w:tcBorders>
            <w:shd w:val="clear" w:color="000000" w:fill="FFFFFF"/>
            <w:noWrap/>
            <w:vAlign w:val="bottom"/>
            <w:hideMark/>
          </w:tcPr>
          <w:p w14:paraId="07D517A6" w14:textId="77777777" w:rsidR="00025FDE" w:rsidRPr="00D60FEB" w:rsidRDefault="00361BC5" w:rsidP="00B3332B">
            <w:pPr>
              <w:spacing w:after="0" w:line="240" w:lineRule="auto"/>
              <w:ind w:left="0" w:firstLine="0"/>
              <w:jc w:val="right"/>
              <w:rPr>
                <w:rFonts w:eastAsia="Times New Roman"/>
                <w:sz w:val="22"/>
                <w:szCs w:val="22"/>
              </w:rPr>
            </w:pPr>
            <w:r w:rsidRPr="00D60FEB">
              <w:rPr>
                <w:rFonts w:eastAsia="Times New Roman"/>
                <w:sz w:val="22"/>
                <w:szCs w:val="22"/>
              </w:rPr>
              <w:t>110%</w:t>
            </w:r>
          </w:p>
        </w:tc>
      </w:tr>
      <w:tr w:rsidR="00D4138C" w14:paraId="698DF005" w14:textId="77777777" w:rsidTr="00B3332B">
        <w:trPr>
          <w:trHeight w:val="288"/>
        </w:trPr>
        <w:tc>
          <w:tcPr>
            <w:tcW w:w="5377" w:type="dxa"/>
            <w:tcBorders>
              <w:top w:val="nil"/>
              <w:left w:val="single" w:sz="8" w:space="0" w:color="auto"/>
              <w:bottom w:val="single" w:sz="4" w:space="0" w:color="auto"/>
              <w:right w:val="single" w:sz="8" w:space="0" w:color="auto"/>
            </w:tcBorders>
            <w:shd w:val="clear" w:color="000000" w:fill="FFFFFF"/>
            <w:vAlign w:val="bottom"/>
            <w:hideMark/>
          </w:tcPr>
          <w:p w14:paraId="2BFBCB31" w14:textId="77777777" w:rsidR="00025FDE" w:rsidRPr="00D60FEB" w:rsidRDefault="00361BC5" w:rsidP="00B3332B">
            <w:pPr>
              <w:spacing w:after="0" w:line="240" w:lineRule="auto"/>
              <w:ind w:left="0" w:firstLine="0"/>
              <w:rPr>
                <w:rFonts w:eastAsia="Times New Roman"/>
                <w:sz w:val="22"/>
                <w:szCs w:val="22"/>
              </w:rPr>
            </w:pPr>
            <w:r w:rsidRPr="00D60FEB">
              <w:rPr>
                <w:rFonts w:eastAsia="Times New Roman"/>
                <w:sz w:val="22"/>
                <w:szCs w:val="22"/>
              </w:rPr>
              <w:t>Enterprises or Businesses receiving support (SME)</w:t>
            </w:r>
          </w:p>
        </w:tc>
        <w:tc>
          <w:tcPr>
            <w:tcW w:w="1276" w:type="dxa"/>
            <w:tcBorders>
              <w:top w:val="nil"/>
              <w:left w:val="nil"/>
              <w:bottom w:val="single" w:sz="4" w:space="0" w:color="auto"/>
              <w:right w:val="nil"/>
            </w:tcBorders>
            <w:shd w:val="clear" w:color="auto" w:fill="auto"/>
            <w:noWrap/>
            <w:vAlign w:val="bottom"/>
            <w:hideMark/>
          </w:tcPr>
          <w:p w14:paraId="75AEF116" w14:textId="77777777" w:rsidR="00025FDE" w:rsidRPr="00D60FEB" w:rsidRDefault="00361BC5" w:rsidP="00B3332B">
            <w:pPr>
              <w:spacing w:after="0" w:line="240" w:lineRule="auto"/>
              <w:ind w:left="0" w:firstLine="0"/>
              <w:jc w:val="right"/>
              <w:rPr>
                <w:rFonts w:eastAsia="Times New Roman"/>
                <w:sz w:val="22"/>
                <w:szCs w:val="22"/>
              </w:rPr>
            </w:pPr>
            <w:r w:rsidRPr="00D60FEB">
              <w:rPr>
                <w:rFonts w:eastAsia="Times New Roman"/>
                <w:sz w:val="22"/>
                <w:szCs w:val="22"/>
              </w:rPr>
              <w:t>4644</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14:paraId="5363D479" w14:textId="77777777" w:rsidR="00025FDE" w:rsidRPr="00D60FEB" w:rsidRDefault="00361BC5" w:rsidP="00B3332B">
            <w:pPr>
              <w:spacing w:after="0" w:line="240" w:lineRule="auto"/>
              <w:ind w:left="0" w:firstLine="0"/>
              <w:jc w:val="right"/>
              <w:rPr>
                <w:rFonts w:eastAsia="Times New Roman"/>
                <w:color w:val="auto"/>
                <w:sz w:val="22"/>
                <w:szCs w:val="22"/>
              </w:rPr>
            </w:pPr>
            <w:r w:rsidRPr="00D60FEB">
              <w:rPr>
                <w:rFonts w:eastAsia="Times New Roman"/>
                <w:color w:val="auto"/>
                <w:sz w:val="22"/>
                <w:szCs w:val="22"/>
              </w:rPr>
              <w:t>6217</w:t>
            </w:r>
          </w:p>
        </w:tc>
        <w:tc>
          <w:tcPr>
            <w:tcW w:w="1417" w:type="dxa"/>
            <w:tcBorders>
              <w:top w:val="nil"/>
              <w:left w:val="nil"/>
              <w:bottom w:val="single" w:sz="4" w:space="0" w:color="auto"/>
              <w:right w:val="single" w:sz="8" w:space="0" w:color="auto"/>
            </w:tcBorders>
            <w:shd w:val="clear" w:color="000000" w:fill="FFFFFF"/>
            <w:noWrap/>
            <w:vAlign w:val="bottom"/>
            <w:hideMark/>
          </w:tcPr>
          <w:p w14:paraId="37DB0CFC" w14:textId="77777777" w:rsidR="00025FDE" w:rsidRPr="00D60FEB" w:rsidRDefault="00361BC5" w:rsidP="00B3332B">
            <w:pPr>
              <w:spacing w:after="0" w:line="240" w:lineRule="auto"/>
              <w:ind w:left="0" w:firstLine="0"/>
              <w:jc w:val="right"/>
              <w:rPr>
                <w:rFonts w:eastAsia="Times New Roman"/>
                <w:sz w:val="22"/>
                <w:szCs w:val="22"/>
              </w:rPr>
            </w:pPr>
            <w:r w:rsidRPr="00D60FEB">
              <w:rPr>
                <w:rFonts w:eastAsia="Times New Roman"/>
                <w:sz w:val="22"/>
                <w:szCs w:val="22"/>
              </w:rPr>
              <w:t>75%</w:t>
            </w:r>
          </w:p>
        </w:tc>
      </w:tr>
      <w:tr w:rsidR="00D4138C" w14:paraId="234BDE5B" w14:textId="77777777" w:rsidTr="00B3332B">
        <w:trPr>
          <w:trHeight w:val="288"/>
        </w:trPr>
        <w:tc>
          <w:tcPr>
            <w:tcW w:w="5377" w:type="dxa"/>
            <w:tcBorders>
              <w:top w:val="nil"/>
              <w:left w:val="single" w:sz="8" w:space="0" w:color="auto"/>
              <w:bottom w:val="single" w:sz="4" w:space="0" w:color="auto"/>
              <w:right w:val="single" w:sz="8" w:space="0" w:color="auto"/>
            </w:tcBorders>
            <w:shd w:val="clear" w:color="000000" w:fill="FFFFFF"/>
            <w:vAlign w:val="bottom"/>
            <w:hideMark/>
          </w:tcPr>
          <w:p w14:paraId="053DCCCE" w14:textId="77777777" w:rsidR="00025FDE" w:rsidRPr="00D60FEB" w:rsidRDefault="00361BC5" w:rsidP="00B3332B">
            <w:pPr>
              <w:spacing w:after="0" w:line="240" w:lineRule="auto"/>
              <w:ind w:left="0" w:firstLine="0"/>
              <w:rPr>
                <w:rFonts w:eastAsia="Times New Roman"/>
                <w:sz w:val="22"/>
                <w:szCs w:val="22"/>
              </w:rPr>
            </w:pPr>
            <w:r w:rsidRPr="00D60FEB">
              <w:rPr>
                <w:rFonts w:eastAsia="Times New Roman"/>
                <w:sz w:val="22"/>
                <w:szCs w:val="22"/>
              </w:rPr>
              <w:t>Specialist Equipment</w:t>
            </w:r>
          </w:p>
        </w:tc>
        <w:tc>
          <w:tcPr>
            <w:tcW w:w="1276" w:type="dxa"/>
            <w:tcBorders>
              <w:top w:val="nil"/>
              <w:left w:val="nil"/>
              <w:bottom w:val="single" w:sz="4" w:space="0" w:color="auto"/>
              <w:right w:val="nil"/>
            </w:tcBorders>
            <w:shd w:val="clear" w:color="auto" w:fill="auto"/>
            <w:noWrap/>
            <w:vAlign w:val="bottom"/>
            <w:hideMark/>
          </w:tcPr>
          <w:p w14:paraId="2EE6BE46" w14:textId="77777777" w:rsidR="00025FDE" w:rsidRPr="00D60FEB" w:rsidRDefault="00361BC5" w:rsidP="00B3332B">
            <w:pPr>
              <w:spacing w:after="0" w:line="240" w:lineRule="auto"/>
              <w:ind w:left="0" w:firstLine="0"/>
              <w:jc w:val="right"/>
              <w:rPr>
                <w:rFonts w:eastAsia="Times New Roman"/>
                <w:sz w:val="22"/>
                <w:szCs w:val="22"/>
              </w:rPr>
            </w:pPr>
            <w:r w:rsidRPr="00D60FEB">
              <w:rPr>
                <w:rFonts w:eastAsia="Times New Roman"/>
                <w:sz w:val="22"/>
                <w:szCs w:val="22"/>
              </w:rPr>
              <w:t>118</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14:paraId="651E4930" w14:textId="77777777" w:rsidR="00025FDE" w:rsidRPr="00D60FEB" w:rsidRDefault="00361BC5" w:rsidP="00B3332B">
            <w:pPr>
              <w:spacing w:after="0" w:line="240" w:lineRule="auto"/>
              <w:ind w:left="0" w:firstLine="0"/>
              <w:jc w:val="right"/>
              <w:rPr>
                <w:rFonts w:eastAsia="Times New Roman"/>
                <w:color w:val="auto"/>
                <w:sz w:val="22"/>
                <w:szCs w:val="22"/>
              </w:rPr>
            </w:pPr>
            <w:r w:rsidRPr="00D60FEB">
              <w:rPr>
                <w:rFonts w:eastAsia="Times New Roman"/>
                <w:color w:val="auto"/>
                <w:sz w:val="22"/>
                <w:szCs w:val="22"/>
              </w:rPr>
              <w:t>117</w:t>
            </w:r>
          </w:p>
        </w:tc>
        <w:tc>
          <w:tcPr>
            <w:tcW w:w="1417" w:type="dxa"/>
            <w:tcBorders>
              <w:top w:val="nil"/>
              <w:left w:val="nil"/>
              <w:bottom w:val="single" w:sz="4" w:space="0" w:color="auto"/>
              <w:right w:val="single" w:sz="8" w:space="0" w:color="auto"/>
            </w:tcBorders>
            <w:shd w:val="clear" w:color="000000" w:fill="FFFFFF"/>
            <w:noWrap/>
            <w:vAlign w:val="bottom"/>
            <w:hideMark/>
          </w:tcPr>
          <w:p w14:paraId="55EA9466" w14:textId="77777777" w:rsidR="00025FDE" w:rsidRPr="00D60FEB" w:rsidRDefault="00361BC5" w:rsidP="00B3332B">
            <w:pPr>
              <w:spacing w:after="0" w:line="240" w:lineRule="auto"/>
              <w:ind w:left="0" w:firstLine="0"/>
              <w:jc w:val="right"/>
              <w:rPr>
                <w:rFonts w:eastAsia="Times New Roman"/>
                <w:sz w:val="22"/>
                <w:szCs w:val="22"/>
              </w:rPr>
            </w:pPr>
            <w:r w:rsidRPr="00D60FEB">
              <w:rPr>
                <w:rFonts w:eastAsia="Times New Roman"/>
                <w:sz w:val="22"/>
                <w:szCs w:val="22"/>
              </w:rPr>
              <w:t>101%</w:t>
            </w:r>
          </w:p>
        </w:tc>
      </w:tr>
      <w:tr w:rsidR="00D4138C" w14:paraId="1F4D17AD" w14:textId="77777777" w:rsidTr="00B3332B">
        <w:trPr>
          <w:trHeight w:val="288"/>
        </w:trPr>
        <w:tc>
          <w:tcPr>
            <w:tcW w:w="5377" w:type="dxa"/>
            <w:tcBorders>
              <w:top w:val="nil"/>
              <w:left w:val="single" w:sz="8" w:space="0" w:color="auto"/>
              <w:bottom w:val="single" w:sz="4" w:space="0" w:color="auto"/>
              <w:right w:val="single" w:sz="8" w:space="0" w:color="auto"/>
            </w:tcBorders>
            <w:shd w:val="clear" w:color="000000" w:fill="FFFFFF"/>
            <w:vAlign w:val="bottom"/>
            <w:hideMark/>
          </w:tcPr>
          <w:p w14:paraId="309DFF9C" w14:textId="77777777" w:rsidR="00025FDE" w:rsidRPr="00D60FEB" w:rsidRDefault="00361BC5" w:rsidP="00B3332B">
            <w:pPr>
              <w:spacing w:after="0" w:line="240" w:lineRule="auto"/>
              <w:ind w:left="0" w:firstLine="0"/>
              <w:rPr>
                <w:rFonts w:eastAsia="Times New Roman"/>
                <w:sz w:val="22"/>
                <w:szCs w:val="22"/>
              </w:rPr>
            </w:pPr>
            <w:r w:rsidRPr="00D60FEB">
              <w:rPr>
                <w:rFonts w:eastAsia="Times New Roman"/>
                <w:sz w:val="22"/>
                <w:szCs w:val="22"/>
              </w:rPr>
              <w:t>New products to Market</w:t>
            </w:r>
          </w:p>
        </w:tc>
        <w:tc>
          <w:tcPr>
            <w:tcW w:w="1276" w:type="dxa"/>
            <w:tcBorders>
              <w:top w:val="nil"/>
              <w:left w:val="nil"/>
              <w:bottom w:val="single" w:sz="4" w:space="0" w:color="auto"/>
              <w:right w:val="nil"/>
            </w:tcBorders>
            <w:shd w:val="clear" w:color="auto" w:fill="auto"/>
            <w:noWrap/>
            <w:vAlign w:val="bottom"/>
            <w:hideMark/>
          </w:tcPr>
          <w:p w14:paraId="3863C024" w14:textId="77777777" w:rsidR="00025FDE" w:rsidRPr="00D60FEB" w:rsidRDefault="00361BC5" w:rsidP="00B3332B">
            <w:pPr>
              <w:spacing w:after="0" w:line="240" w:lineRule="auto"/>
              <w:ind w:left="0" w:firstLine="0"/>
              <w:jc w:val="right"/>
              <w:rPr>
                <w:rFonts w:eastAsia="Times New Roman"/>
                <w:sz w:val="22"/>
                <w:szCs w:val="22"/>
              </w:rPr>
            </w:pPr>
            <w:r w:rsidRPr="00D60FEB">
              <w:rPr>
                <w:rFonts w:eastAsia="Times New Roman"/>
                <w:sz w:val="22"/>
                <w:szCs w:val="22"/>
              </w:rPr>
              <w:t>40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14:paraId="65CEEEF5" w14:textId="77777777" w:rsidR="00025FDE" w:rsidRPr="00D60FEB" w:rsidRDefault="00361BC5" w:rsidP="00B3332B">
            <w:pPr>
              <w:spacing w:after="0" w:line="240" w:lineRule="auto"/>
              <w:ind w:left="0" w:firstLine="0"/>
              <w:jc w:val="right"/>
              <w:rPr>
                <w:rFonts w:eastAsia="Times New Roman"/>
                <w:sz w:val="22"/>
                <w:szCs w:val="22"/>
              </w:rPr>
            </w:pPr>
            <w:r w:rsidRPr="00D60FEB">
              <w:rPr>
                <w:rFonts w:eastAsia="Times New Roman"/>
                <w:sz w:val="22"/>
                <w:szCs w:val="22"/>
              </w:rPr>
              <w:t>40</w:t>
            </w:r>
          </w:p>
        </w:tc>
        <w:tc>
          <w:tcPr>
            <w:tcW w:w="1417" w:type="dxa"/>
            <w:tcBorders>
              <w:top w:val="nil"/>
              <w:left w:val="nil"/>
              <w:bottom w:val="single" w:sz="4" w:space="0" w:color="auto"/>
              <w:right w:val="single" w:sz="8" w:space="0" w:color="auto"/>
            </w:tcBorders>
            <w:shd w:val="clear" w:color="000000" w:fill="FFFFFF"/>
            <w:noWrap/>
            <w:vAlign w:val="bottom"/>
            <w:hideMark/>
          </w:tcPr>
          <w:p w14:paraId="4EB20A97" w14:textId="77777777" w:rsidR="00025FDE" w:rsidRPr="00D60FEB" w:rsidRDefault="00361BC5" w:rsidP="00B3332B">
            <w:pPr>
              <w:spacing w:after="0" w:line="240" w:lineRule="auto"/>
              <w:ind w:left="0" w:firstLine="0"/>
              <w:jc w:val="right"/>
              <w:rPr>
                <w:rFonts w:eastAsia="Times New Roman"/>
                <w:sz w:val="22"/>
                <w:szCs w:val="22"/>
              </w:rPr>
            </w:pPr>
            <w:r w:rsidRPr="00D60FEB">
              <w:rPr>
                <w:rFonts w:eastAsia="Times New Roman"/>
                <w:sz w:val="22"/>
                <w:szCs w:val="22"/>
              </w:rPr>
              <w:t>100%</w:t>
            </w:r>
          </w:p>
        </w:tc>
      </w:tr>
      <w:tr w:rsidR="00D4138C" w14:paraId="15978ED9" w14:textId="77777777" w:rsidTr="00B3332B">
        <w:trPr>
          <w:trHeight w:val="300"/>
        </w:trPr>
        <w:tc>
          <w:tcPr>
            <w:tcW w:w="5377" w:type="dxa"/>
            <w:tcBorders>
              <w:top w:val="nil"/>
              <w:left w:val="single" w:sz="8" w:space="0" w:color="auto"/>
              <w:bottom w:val="single" w:sz="8" w:space="0" w:color="auto"/>
              <w:right w:val="single" w:sz="8" w:space="0" w:color="auto"/>
            </w:tcBorders>
            <w:shd w:val="clear" w:color="000000" w:fill="FFFFFF"/>
            <w:vAlign w:val="bottom"/>
            <w:hideMark/>
          </w:tcPr>
          <w:p w14:paraId="6B921300" w14:textId="77777777" w:rsidR="00025FDE" w:rsidRPr="00D60FEB" w:rsidRDefault="00361BC5" w:rsidP="00B3332B">
            <w:pPr>
              <w:spacing w:after="0" w:line="240" w:lineRule="auto"/>
              <w:ind w:left="0" w:firstLine="0"/>
              <w:rPr>
                <w:rFonts w:eastAsia="Times New Roman"/>
                <w:sz w:val="22"/>
                <w:szCs w:val="22"/>
              </w:rPr>
            </w:pPr>
            <w:r w:rsidRPr="00D60FEB">
              <w:rPr>
                <w:rFonts w:eastAsia="Times New Roman"/>
                <w:sz w:val="22"/>
                <w:szCs w:val="22"/>
              </w:rPr>
              <w:t xml:space="preserve">Social and </w:t>
            </w:r>
            <w:r w:rsidRPr="00D60FEB">
              <w:rPr>
                <w:rFonts w:eastAsia="Times New Roman"/>
                <w:sz w:val="22"/>
                <w:szCs w:val="22"/>
              </w:rPr>
              <w:t>Economic Value Impact £m</w:t>
            </w:r>
          </w:p>
        </w:tc>
        <w:tc>
          <w:tcPr>
            <w:tcW w:w="1276" w:type="dxa"/>
            <w:tcBorders>
              <w:top w:val="nil"/>
              <w:left w:val="nil"/>
              <w:bottom w:val="single" w:sz="8" w:space="0" w:color="auto"/>
              <w:right w:val="nil"/>
            </w:tcBorders>
            <w:shd w:val="clear" w:color="auto" w:fill="auto"/>
            <w:noWrap/>
            <w:vAlign w:val="bottom"/>
            <w:hideMark/>
          </w:tcPr>
          <w:p w14:paraId="5DEFC7F5" w14:textId="77777777" w:rsidR="00025FDE" w:rsidRPr="00D60FEB" w:rsidRDefault="00361BC5" w:rsidP="00B3332B">
            <w:pPr>
              <w:spacing w:after="0" w:line="240" w:lineRule="auto"/>
              <w:ind w:left="0" w:firstLine="0"/>
              <w:jc w:val="right"/>
              <w:rPr>
                <w:rFonts w:eastAsia="Times New Roman"/>
                <w:sz w:val="22"/>
                <w:szCs w:val="22"/>
              </w:rPr>
            </w:pPr>
            <w:r w:rsidRPr="00D60FEB">
              <w:rPr>
                <w:rFonts w:eastAsia="Times New Roman"/>
                <w:sz w:val="22"/>
                <w:szCs w:val="22"/>
              </w:rPr>
              <w:t>£31.10</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52D6DDA4" w14:textId="77777777" w:rsidR="00025FDE" w:rsidRPr="00D60FEB" w:rsidRDefault="00361BC5" w:rsidP="00B3332B">
            <w:pPr>
              <w:spacing w:after="0" w:line="240" w:lineRule="auto"/>
              <w:ind w:left="0" w:firstLine="0"/>
              <w:jc w:val="right"/>
              <w:rPr>
                <w:rFonts w:eastAsia="Times New Roman"/>
                <w:sz w:val="22"/>
                <w:szCs w:val="22"/>
              </w:rPr>
            </w:pPr>
            <w:r w:rsidRPr="00D60FEB">
              <w:rPr>
                <w:rFonts w:eastAsia="Times New Roman"/>
                <w:sz w:val="22"/>
                <w:szCs w:val="22"/>
              </w:rPr>
              <w:t>N/A</w:t>
            </w:r>
          </w:p>
        </w:tc>
        <w:tc>
          <w:tcPr>
            <w:tcW w:w="1417" w:type="dxa"/>
            <w:tcBorders>
              <w:top w:val="nil"/>
              <w:left w:val="nil"/>
              <w:bottom w:val="single" w:sz="8" w:space="0" w:color="auto"/>
              <w:right w:val="single" w:sz="8" w:space="0" w:color="auto"/>
            </w:tcBorders>
            <w:shd w:val="clear" w:color="000000" w:fill="FFFFFF"/>
            <w:noWrap/>
            <w:vAlign w:val="bottom"/>
            <w:hideMark/>
          </w:tcPr>
          <w:p w14:paraId="1801BC0A" w14:textId="77777777" w:rsidR="00025FDE" w:rsidRPr="00D60FEB" w:rsidRDefault="00361BC5" w:rsidP="00B3332B">
            <w:pPr>
              <w:spacing w:after="0" w:line="240" w:lineRule="auto"/>
              <w:ind w:left="0" w:firstLine="0"/>
              <w:jc w:val="right"/>
              <w:rPr>
                <w:rFonts w:eastAsia="Times New Roman"/>
                <w:sz w:val="22"/>
                <w:szCs w:val="22"/>
              </w:rPr>
            </w:pPr>
            <w:r w:rsidRPr="00D60FEB">
              <w:rPr>
                <w:rFonts w:eastAsia="Times New Roman"/>
                <w:sz w:val="22"/>
                <w:szCs w:val="22"/>
              </w:rPr>
              <w:t>N/A</w:t>
            </w:r>
          </w:p>
        </w:tc>
      </w:tr>
    </w:tbl>
    <w:p w14:paraId="724FCBAF" w14:textId="77777777" w:rsidR="00025FDE" w:rsidRPr="00D60FEB" w:rsidRDefault="00025FDE" w:rsidP="00025FDE">
      <w:pPr>
        <w:spacing w:after="0" w:line="240" w:lineRule="auto"/>
        <w:ind w:left="0" w:firstLine="0"/>
        <w:jc w:val="both"/>
        <w:rPr>
          <w:rFonts w:eastAsia="Times New Roman"/>
          <w:b/>
          <w:bCs/>
          <w:sz w:val="22"/>
          <w:szCs w:val="22"/>
        </w:rPr>
      </w:pPr>
    </w:p>
    <w:p w14:paraId="7A45E2E5" w14:textId="77777777" w:rsidR="00025FDE" w:rsidRPr="00D60FEB" w:rsidRDefault="00361BC5" w:rsidP="00025FDE">
      <w:pPr>
        <w:pStyle w:val="NormalNumbered"/>
        <w:rPr>
          <w:rFonts w:cs="Arial"/>
          <w:sz w:val="22"/>
          <w:szCs w:val="22"/>
        </w:rPr>
      </w:pPr>
      <w:r w:rsidRPr="00D60FEB">
        <w:rPr>
          <w:rFonts w:cs="Arial"/>
          <w:sz w:val="22"/>
          <w:szCs w:val="22"/>
        </w:rPr>
        <w:t>In respect to the above table please note:</w:t>
      </w:r>
    </w:p>
    <w:p w14:paraId="661E61CD" w14:textId="77777777" w:rsidR="00025FDE" w:rsidRPr="00D60FEB" w:rsidRDefault="00361BC5" w:rsidP="00025FDE">
      <w:pPr>
        <w:pStyle w:val="NoSpacing"/>
        <w:numPr>
          <w:ilvl w:val="0"/>
          <w:numId w:val="7"/>
        </w:numPr>
        <w:ind w:left="360"/>
        <w:jc w:val="both"/>
        <w:rPr>
          <w:sz w:val="22"/>
          <w:szCs w:val="22"/>
        </w:rPr>
      </w:pPr>
      <w:r w:rsidRPr="00D60FEB">
        <w:rPr>
          <w:sz w:val="22"/>
          <w:szCs w:val="22"/>
          <w:u w:val="single"/>
        </w:rPr>
        <w:t>Growing Places, Warton EZ and Social Value programmes</w:t>
      </w:r>
      <w:r w:rsidRPr="00D60FEB">
        <w:rPr>
          <w:sz w:val="22"/>
          <w:szCs w:val="22"/>
        </w:rPr>
        <w:t xml:space="preserve"> – Whilst the programmes have reported 'actuals' which are included in the table above, they do not currently have 'targets' to measure performance against.</w:t>
      </w:r>
    </w:p>
    <w:p w14:paraId="369AE3FE" w14:textId="77777777" w:rsidR="00025FDE" w:rsidRPr="00D60FEB" w:rsidRDefault="00361BC5" w:rsidP="00025FDE">
      <w:pPr>
        <w:pStyle w:val="NoSpacing"/>
        <w:numPr>
          <w:ilvl w:val="0"/>
          <w:numId w:val="7"/>
        </w:numPr>
        <w:ind w:left="360"/>
        <w:jc w:val="both"/>
        <w:rPr>
          <w:sz w:val="22"/>
          <w:szCs w:val="22"/>
        </w:rPr>
      </w:pPr>
      <w:r w:rsidRPr="00D60FEB">
        <w:rPr>
          <w:sz w:val="22"/>
          <w:szCs w:val="22"/>
          <w:u w:val="single"/>
        </w:rPr>
        <w:t>Lancashire Skills and Employment Hub programme</w:t>
      </w:r>
      <w:r w:rsidRPr="00D60FEB">
        <w:rPr>
          <w:sz w:val="22"/>
          <w:szCs w:val="22"/>
        </w:rPr>
        <w:t xml:space="preserve"> - As a strategic unit, gathering local labour market</w:t>
      </w:r>
      <w:r w:rsidRPr="00D60FEB">
        <w:rPr>
          <w:sz w:val="22"/>
          <w:szCs w:val="22"/>
        </w:rPr>
        <w:t xml:space="preserve"> intelligence to identify skills and employment priorities, the programme is not measured against the KPIs within the table above. Please refer to programme report for performance data. </w:t>
      </w:r>
    </w:p>
    <w:p w14:paraId="6F295E0A" w14:textId="77777777" w:rsidR="00025FDE" w:rsidRPr="00D60FEB" w:rsidRDefault="00361BC5" w:rsidP="00025FDE">
      <w:pPr>
        <w:pStyle w:val="NoSpacing"/>
        <w:numPr>
          <w:ilvl w:val="0"/>
          <w:numId w:val="7"/>
        </w:numPr>
        <w:ind w:left="360"/>
        <w:jc w:val="both"/>
        <w:rPr>
          <w:sz w:val="22"/>
          <w:szCs w:val="22"/>
        </w:rPr>
      </w:pPr>
      <w:r w:rsidRPr="00D60FEB">
        <w:rPr>
          <w:sz w:val="22"/>
          <w:szCs w:val="22"/>
          <w:u w:val="single"/>
        </w:rPr>
        <w:t>Inward Investment programme</w:t>
      </w:r>
      <w:r w:rsidRPr="00D60FEB">
        <w:rPr>
          <w:sz w:val="22"/>
          <w:szCs w:val="22"/>
        </w:rPr>
        <w:t xml:space="preserve"> – The 'actuals' within the report are not</w:t>
      </w:r>
      <w:r w:rsidRPr="00D60FEB">
        <w:rPr>
          <w:sz w:val="22"/>
          <w:szCs w:val="22"/>
        </w:rPr>
        <w:t xml:space="preserve"> included in the table above as these have been achieved through the wider partnership working. </w:t>
      </w:r>
    </w:p>
    <w:p w14:paraId="21098C83" w14:textId="77777777" w:rsidR="00025FDE" w:rsidRPr="00D60FEB" w:rsidRDefault="00361BC5" w:rsidP="00025FDE">
      <w:pPr>
        <w:pStyle w:val="NoSpacing"/>
        <w:numPr>
          <w:ilvl w:val="0"/>
          <w:numId w:val="7"/>
        </w:numPr>
        <w:ind w:left="360"/>
        <w:jc w:val="both"/>
        <w:rPr>
          <w:sz w:val="22"/>
          <w:szCs w:val="22"/>
        </w:rPr>
      </w:pPr>
      <w:r w:rsidRPr="00D60FEB">
        <w:rPr>
          <w:sz w:val="22"/>
          <w:szCs w:val="22"/>
          <w:u w:val="single"/>
        </w:rPr>
        <w:t>Double Counting</w:t>
      </w:r>
      <w:r w:rsidRPr="00D60FEB">
        <w:rPr>
          <w:sz w:val="22"/>
          <w:szCs w:val="22"/>
        </w:rPr>
        <w:t xml:space="preserve"> - Some of the programmes crosscut, as such there is the potential for double counting of KPI 'actuals', when combining all the programmes. An e</w:t>
      </w:r>
      <w:r w:rsidRPr="00D60FEB">
        <w:rPr>
          <w:sz w:val="22"/>
          <w:szCs w:val="22"/>
        </w:rPr>
        <w:t xml:space="preserve">xercise has been undertaken to remove the duplicates. </w:t>
      </w:r>
    </w:p>
    <w:p w14:paraId="06604034" w14:textId="77777777" w:rsidR="00025FDE" w:rsidRPr="00D60FEB" w:rsidRDefault="00361BC5" w:rsidP="00025FDE">
      <w:pPr>
        <w:pStyle w:val="NoSpacing"/>
        <w:numPr>
          <w:ilvl w:val="0"/>
          <w:numId w:val="7"/>
        </w:numPr>
        <w:ind w:left="360"/>
        <w:jc w:val="both"/>
        <w:rPr>
          <w:sz w:val="22"/>
          <w:szCs w:val="22"/>
        </w:rPr>
      </w:pPr>
      <w:r w:rsidRPr="00D60FEB">
        <w:rPr>
          <w:sz w:val="22"/>
          <w:szCs w:val="22"/>
          <w:u w:val="single"/>
        </w:rPr>
        <w:t>Reporting Period</w:t>
      </w:r>
      <w:r w:rsidRPr="00D60FEB">
        <w:rPr>
          <w:sz w:val="22"/>
          <w:szCs w:val="22"/>
        </w:rPr>
        <w:t xml:space="preserve"> – Programmes performance periods range from 2013 – 2041.</w:t>
      </w:r>
    </w:p>
    <w:p w14:paraId="358BD0BA" w14:textId="77777777" w:rsidR="00025FDE" w:rsidRPr="00D60FEB" w:rsidRDefault="00361BC5" w:rsidP="00025FDE">
      <w:pPr>
        <w:pStyle w:val="NoSpacing"/>
        <w:numPr>
          <w:ilvl w:val="0"/>
          <w:numId w:val="7"/>
        </w:numPr>
        <w:ind w:left="360"/>
        <w:jc w:val="both"/>
        <w:rPr>
          <w:sz w:val="22"/>
          <w:szCs w:val="22"/>
        </w:rPr>
      </w:pPr>
      <w:r w:rsidRPr="00D60FEB">
        <w:rPr>
          <w:sz w:val="22"/>
          <w:szCs w:val="22"/>
          <w:u w:val="single"/>
        </w:rPr>
        <w:t>Programme review</w:t>
      </w:r>
      <w:r w:rsidRPr="00D60FEB">
        <w:rPr>
          <w:sz w:val="22"/>
          <w:szCs w:val="22"/>
        </w:rPr>
        <w:t xml:space="preserve"> – It is anticipated, as an outcome of the Programme Review, that additional KPIs may be identified within programmes to report against.  </w:t>
      </w:r>
    </w:p>
    <w:p w14:paraId="4FD32E23" w14:textId="77777777" w:rsidR="00025FDE" w:rsidRPr="00D60FEB" w:rsidRDefault="00025FDE" w:rsidP="00025FDE">
      <w:pPr>
        <w:rPr>
          <w:sz w:val="22"/>
          <w:szCs w:val="22"/>
        </w:rPr>
      </w:pPr>
    </w:p>
    <w:p w14:paraId="739DC1E3" w14:textId="77777777" w:rsidR="00025FDE" w:rsidRPr="00D60FEB" w:rsidRDefault="00361BC5" w:rsidP="00025FDE">
      <w:pPr>
        <w:pStyle w:val="NormalNumbered"/>
        <w:tabs>
          <w:tab w:val="clear" w:pos="1112"/>
        </w:tabs>
        <w:rPr>
          <w:rFonts w:cs="Arial"/>
          <w:b/>
          <w:bCs/>
          <w:i/>
          <w:iCs/>
          <w:sz w:val="22"/>
          <w:szCs w:val="22"/>
        </w:rPr>
      </w:pPr>
      <w:r w:rsidRPr="00D60FEB">
        <w:rPr>
          <w:rFonts w:cs="Arial"/>
          <w:b/>
          <w:bCs/>
          <w:i/>
          <w:iCs/>
          <w:sz w:val="22"/>
          <w:szCs w:val="22"/>
        </w:rPr>
        <w:t>Key Performance Indicators Dashboard</w:t>
      </w:r>
    </w:p>
    <w:p w14:paraId="0624251E" w14:textId="77777777" w:rsidR="00025FDE" w:rsidRPr="00D60FEB" w:rsidRDefault="00361BC5" w:rsidP="00025FDE">
      <w:pPr>
        <w:pStyle w:val="NormalNumbered"/>
        <w:rPr>
          <w:rFonts w:cs="Arial"/>
          <w:sz w:val="22"/>
          <w:szCs w:val="22"/>
        </w:rPr>
      </w:pPr>
      <w:r w:rsidRPr="00D60FEB">
        <w:rPr>
          <w:rFonts w:cs="Arial"/>
          <w:sz w:val="22"/>
          <w:szCs w:val="22"/>
        </w:rPr>
        <w:t>As members may recall a draft 'Dashboard' and set of 'LEP KPIs', were  previous</w:t>
      </w:r>
      <w:r w:rsidRPr="00D60FEB">
        <w:rPr>
          <w:rFonts w:cs="Arial"/>
          <w:sz w:val="22"/>
          <w:szCs w:val="22"/>
        </w:rPr>
        <w:t xml:space="preserve">ly circulated to Members for comment. </w:t>
      </w:r>
    </w:p>
    <w:p w14:paraId="33B0A8EC" w14:textId="77777777" w:rsidR="00025FDE" w:rsidRPr="00D60FEB" w:rsidRDefault="00361BC5" w:rsidP="00025FDE">
      <w:pPr>
        <w:pStyle w:val="NormalNumbered"/>
        <w:rPr>
          <w:rFonts w:cs="Arial"/>
          <w:sz w:val="22"/>
          <w:szCs w:val="22"/>
        </w:rPr>
      </w:pPr>
      <w:r w:rsidRPr="00D60FEB">
        <w:rPr>
          <w:rFonts w:cs="Arial"/>
          <w:sz w:val="22"/>
          <w:szCs w:val="22"/>
        </w:rPr>
        <w:lastRenderedPageBreak/>
        <w:t>It was advised these would finalised, later this year, upon completion of the individual programme reviews, and also in the context of the LEPs strategic ambitions. This work will also consider the outcome of governme</w:t>
      </w:r>
      <w:r w:rsidRPr="00D60FEB">
        <w:rPr>
          <w:rFonts w:cs="Arial"/>
          <w:sz w:val="22"/>
          <w:szCs w:val="22"/>
        </w:rPr>
        <w:t>nts review of LEPs nationally, and local strategies which are emerging e.g. Growth Plan, Internalisation Strategy, GLP etc.</w:t>
      </w:r>
    </w:p>
    <w:p w14:paraId="1B4D21FB" w14:textId="77777777" w:rsidR="00025FDE" w:rsidRPr="00D60FEB" w:rsidRDefault="00361BC5" w:rsidP="00025FDE">
      <w:pPr>
        <w:pStyle w:val="NormalNumbered"/>
        <w:rPr>
          <w:rFonts w:cs="Arial"/>
          <w:b/>
          <w:bCs/>
          <w:i/>
          <w:iCs/>
          <w:sz w:val="22"/>
          <w:szCs w:val="22"/>
        </w:rPr>
      </w:pPr>
      <w:r w:rsidRPr="00D60FEB">
        <w:rPr>
          <w:rFonts w:cs="Arial"/>
          <w:b/>
          <w:bCs/>
          <w:i/>
          <w:iCs/>
          <w:sz w:val="22"/>
          <w:szCs w:val="22"/>
        </w:rPr>
        <w:t>Programme Reviews</w:t>
      </w:r>
    </w:p>
    <w:p w14:paraId="791D4F28" w14:textId="77777777" w:rsidR="00025FDE" w:rsidRPr="00D60FEB" w:rsidRDefault="00361BC5" w:rsidP="00025FDE">
      <w:pPr>
        <w:pStyle w:val="NormalNumbered"/>
        <w:rPr>
          <w:rFonts w:cs="Arial"/>
          <w:sz w:val="22"/>
          <w:szCs w:val="22"/>
        </w:rPr>
      </w:pPr>
      <w:r w:rsidRPr="00D60FEB">
        <w:rPr>
          <w:rFonts w:cs="Arial"/>
          <w:sz w:val="22"/>
          <w:szCs w:val="22"/>
        </w:rPr>
        <w:t xml:space="preserve">As previously reported, the LEP Investment Programme Manager is currently undertaking a review of each of the LEP </w:t>
      </w:r>
      <w:r w:rsidRPr="00D60FEB">
        <w:rPr>
          <w:rFonts w:cs="Arial"/>
          <w:sz w:val="22"/>
          <w:szCs w:val="22"/>
        </w:rPr>
        <w:t xml:space="preserve">programmes. The objective of the review is to act as a critical friend, establish programme baseline, in order to seek a pattern of continuous improvement, to inform current and future delivery and direction. </w:t>
      </w:r>
    </w:p>
    <w:p w14:paraId="74729B7A" w14:textId="77777777" w:rsidR="00025FDE" w:rsidRPr="00D60FEB" w:rsidRDefault="00361BC5" w:rsidP="00025FDE">
      <w:pPr>
        <w:pStyle w:val="NormalNumbered"/>
        <w:tabs>
          <w:tab w:val="clear" w:pos="1112"/>
        </w:tabs>
        <w:rPr>
          <w:rFonts w:cs="Arial"/>
          <w:sz w:val="22"/>
          <w:szCs w:val="22"/>
        </w:rPr>
      </w:pPr>
      <w:r w:rsidRPr="00D60FEB">
        <w:rPr>
          <w:rFonts w:cs="Arial"/>
          <w:sz w:val="22"/>
          <w:szCs w:val="22"/>
        </w:rPr>
        <w:t xml:space="preserve">The reviews are undertaken </w:t>
      </w:r>
      <w:r>
        <w:rPr>
          <w:rFonts w:cs="Arial"/>
          <w:sz w:val="22"/>
          <w:szCs w:val="22"/>
        </w:rPr>
        <w:t xml:space="preserve">in consultation </w:t>
      </w:r>
      <w:r w:rsidRPr="00D60FEB">
        <w:rPr>
          <w:rFonts w:cs="Arial"/>
          <w:sz w:val="22"/>
          <w:szCs w:val="22"/>
        </w:rPr>
        <w:t>wit</w:t>
      </w:r>
      <w:r w:rsidRPr="00D60FEB">
        <w:rPr>
          <w:rFonts w:cs="Arial"/>
          <w:sz w:val="22"/>
          <w:szCs w:val="22"/>
        </w:rPr>
        <w:t>h the Programme Lead</w:t>
      </w:r>
      <w:r>
        <w:rPr>
          <w:rFonts w:cs="Arial"/>
          <w:sz w:val="22"/>
          <w:szCs w:val="22"/>
        </w:rPr>
        <w:t xml:space="preserve">, </w:t>
      </w:r>
      <w:r w:rsidRPr="00D60FEB">
        <w:rPr>
          <w:rFonts w:cs="Arial"/>
          <w:sz w:val="22"/>
          <w:szCs w:val="22"/>
        </w:rPr>
        <w:t>the respective LEP Sub-Committee Chair</w:t>
      </w:r>
      <w:r>
        <w:rPr>
          <w:rFonts w:cs="Arial"/>
          <w:sz w:val="22"/>
          <w:szCs w:val="22"/>
        </w:rPr>
        <w:t xml:space="preserve"> and the LEP CEO</w:t>
      </w:r>
      <w:r w:rsidRPr="00D60FEB">
        <w:rPr>
          <w:rFonts w:cs="Arial"/>
          <w:sz w:val="22"/>
          <w:szCs w:val="22"/>
        </w:rPr>
        <w:t xml:space="preserve">. </w:t>
      </w:r>
    </w:p>
    <w:p w14:paraId="6BC39187" w14:textId="77777777" w:rsidR="00025FDE" w:rsidRPr="00D60FEB" w:rsidRDefault="00361BC5" w:rsidP="00025FDE">
      <w:pPr>
        <w:pStyle w:val="NormalNumbered"/>
        <w:tabs>
          <w:tab w:val="clear" w:pos="1112"/>
        </w:tabs>
        <w:rPr>
          <w:rFonts w:cs="Arial"/>
          <w:sz w:val="22"/>
          <w:szCs w:val="22"/>
        </w:rPr>
      </w:pPr>
      <w:r w:rsidRPr="00D60FEB">
        <w:rPr>
          <w:rFonts w:cs="Arial"/>
          <w:sz w:val="22"/>
          <w:szCs w:val="22"/>
        </w:rPr>
        <w:t xml:space="preserve">The Programme Review findings, including actions and recommendations, from each review will be shared with Members when complete. </w:t>
      </w:r>
    </w:p>
    <w:p w14:paraId="48B2CBC6" w14:textId="77777777" w:rsidR="00025FDE" w:rsidRPr="00D60FEB" w:rsidRDefault="00361BC5" w:rsidP="00025FDE">
      <w:pPr>
        <w:pStyle w:val="NormalNumbered"/>
        <w:tabs>
          <w:tab w:val="clear" w:pos="1112"/>
        </w:tabs>
        <w:rPr>
          <w:rFonts w:cs="Arial"/>
          <w:sz w:val="22"/>
          <w:szCs w:val="22"/>
        </w:rPr>
      </w:pPr>
      <w:r w:rsidRPr="00D60FEB">
        <w:rPr>
          <w:rFonts w:cs="Arial"/>
          <w:sz w:val="22"/>
          <w:szCs w:val="22"/>
        </w:rPr>
        <w:t>Please see below a summary of the review of th</w:t>
      </w:r>
      <w:r w:rsidRPr="00D60FEB">
        <w:rPr>
          <w:rFonts w:cs="Arial"/>
          <w:sz w:val="22"/>
          <w:szCs w:val="22"/>
        </w:rPr>
        <w:t>e Growing Places programme recently completed.</w:t>
      </w:r>
    </w:p>
    <w:p w14:paraId="0E403BC8" w14:textId="77777777" w:rsidR="00025FDE" w:rsidRPr="00D60FEB" w:rsidRDefault="00361BC5" w:rsidP="00025FDE">
      <w:pPr>
        <w:pStyle w:val="NormalNumbered"/>
        <w:tabs>
          <w:tab w:val="clear" w:pos="1112"/>
        </w:tabs>
        <w:rPr>
          <w:rFonts w:cs="Arial"/>
          <w:sz w:val="22"/>
          <w:szCs w:val="22"/>
          <w:u w:val="single"/>
        </w:rPr>
      </w:pPr>
      <w:r w:rsidRPr="00A300B5">
        <w:rPr>
          <w:rFonts w:cs="Arial"/>
          <w:sz w:val="22"/>
          <w:szCs w:val="22"/>
          <w:u w:val="single"/>
        </w:rPr>
        <w:t>Growing Places Programme Review – Findings</w:t>
      </w:r>
    </w:p>
    <w:p w14:paraId="51421AC2" w14:textId="77777777" w:rsidR="00025FDE" w:rsidRDefault="00361BC5" w:rsidP="00025FDE">
      <w:pPr>
        <w:autoSpaceDE w:val="0"/>
        <w:autoSpaceDN w:val="0"/>
        <w:adjustRightInd w:val="0"/>
        <w:spacing w:after="0" w:line="240" w:lineRule="auto"/>
        <w:ind w:left="0" w:right="-22" w:firstLine="0"/>
        <w:jc w:val="both"/>
        <w:rPr>
          <w:color w:val="auto"/>
          <w:sz w:val="22"/>
          <w:szCs w:val="22"/>
          <w:lang w:eastAsia="en-US"/>
        </w:rPr>
      </w:pPr>
      <w:r w:rsidRPr="001F52FE">
        <w:rPr>
          <w:color w:val="auto"/>
          <w:sz w:val="22"/>
          <w:szCs w:val="22"/>
          <w:u w:val="single"/>
          <w:lang w:eastAsia="en-US"/>
        </w:rPr>
        <w:t>Background</w:t>
      </w:r>
      <w:r>
        <w:rPr>
          <w:color w:val="auto"/>
          <w:sz w:val="22"/>
          <w:szCs w:val="22"/>
          <w:lang w:eastAsia="en-US"/>
        </w:rPr>
        <w:t xml:space="preserve"> - </w:t>
      </w:r>
      <w:r w:rsidRPr="00D60FEB">
        <w:rPr>
          <w:color w:val="auto"/>
          <w:sz w:val="22"/>
          <w:szCs w:val="22"/>
          <w:lang w:eastAsia="en-US"/>
        </w:rPr>
        <w:t xml:space="preserve">In 2012 the government provided £19.3m Growing Places Fund to Lancashire LEP. The fund is for capital developments to unlock stalled sites in Lancashire with an ambition that the fund should become evergreen (a recycling loan fund). </w:t>
      </w:r>
    </w:p>
    <w:p w14:paraId="700959AB" w14:textId="77777777" w:rsidR="00025FDE" w:rsidRDefault="00025FDE" w:rsidP="00025FDE">
      <w:pPr>
        <w:autoSpaceDE w:val="0"/>
        <w:autoSpaceDN w:val="0"/>
        <w:adjustRightInd w:val="0"/>
        <w:spacing w:after="0" w:line="240" w:lineRule="auto"/>
        <w:ind w:left="0" w:right="-22" w:firstLine="0"/>
        <w:jc w:val="both"/>
        <w:rPr>
          <w:color w:val="auto"/>
          <w:sz w:val="22"/>
          <w:szCs w:val="22"/>
          <w:lang w:eastAsia="en-US"/>
        </w:rPr>
      </w:pPr>
    </w:p>
    <w:p w14:paraId="31C1E31E" w14:textId="77777777" w:rsidR="00025FDE" w:rsidRPr="00D60FEB" w:rsidRDefault="00361BC5" w:rsidP="00025FDE">
      <w:pPr>
        <w:spacing w:after="160" w:line="259" w:lineRule="auto"/>
        <w:ind w:left="0" w:firstLine="0"/>
        <w:jc w:val="both"/>
        <w:rPr>
          <w:color w:val="auto"/>
          <w:sz w:val="22"/>
          <w:szCs w:val="22"/>
          <w:lang w:eastAsia="en-US"/>
        </w:rPr>
      </w:pPr>
      <w:r w:rsidRPr="00D60FEB">
        <w:rPr>
          <w:color w:val="auto"/>
          <w:sz w:val="22"/>
          <w:szCs w:val="22"/>
          <w:lang w:eastAsia="en-US"/>
        </w:rPr>
        <w:t>The Fund has three ov</w:t>
      </w:r>
      <w:r w:rsidRPr="00D60FEB">
        <w:rPr>
          <w:color w:val="auto"/>
          <w:sz w:val="22"/>
          <w:szCs w:val="22"/>
          <w:lang w:eastAsia="en-US"/>
        </w:rPr>
        <w:t>erriding objectives: • to generate economic activity in the short term by addressing immediate infrastructure and site constraints and promote the delivery of jobs and housing • to allow local enterprise partnerships to prioritise the infrastructure they n</w:t>
      </w:r>
      <w:r w:rsidRPr="00D60FEB">
        <w:rPr>
          <w:color w:val="auto"/>
          <w:sz w:val="22"/>
          <w:szCs w:val="22"/>
          <w:lang w:eastAsia="en-US"/>
        </w:rPr>
        <w:t xml:space="preserve">eed, empowering them to deliver their economic strategies • to establish sustainable revolving funds so that funding can be reinvested to unlock further development, and leverage private investment. </w:t>
      </w:r>
    </w:p>
    <w:p w14:paraId="7632C23F" w14:textId="77777777" w:rsidR="00025FDE" w:rsidRPr="00D60FEB" w:rsidRDefault="00361BC5" w:rsidP="00025FDE">
      <w:pPr>
        <w:spacing w:after="160" w:line="259" w:lineRule="auto"/>
        <w:ind w:left="0" w:firstLine="0"/>
        <w:jc w:val="both"/>
        <w:rPr>
          <w:color w:val="auto"/>
          <w:sz w:val="22"/>
          <w:szCs w:val="22"/>
          <w:lang w:eastAsia="en-US"/>
        </w:rPr>
      </w:pPr>
      <w:r w:rsidRPr="00D60FEB">
        <w:rPr>
          <w:color w:val="auto"/>
          <w:sz w:val="22"/>
          <w:szCs w:val="22"/>
          <w:lang w:eastAsia="en-US"/>
        </w:rPr>
        <w:t>Government encouraged LEPs to be flexible in their appro</w:t>
      </w:r>
      <w:r w:rsidRPr="00D60FEB">
        <w:rPr>
          <w:color w:val="auto"/>
          <w:sz w:val="22"/>
          <w:szCs w:val="22"/>
          <w:lang w:eastAsia="en-US"/>
        </w:rPr>
        <w:t>ach (loans, grants, mix), suggesting, but not specifying the funds to be issued as loans, thereby establishing revolving funds that can be reinvested to unlock further development. From a government perspective the programmes</w:t>
      </w:r>
      <w:r>
        <w:rPr>
          <w:color w:val="auto"/>
          <w:sz w:val="22"/>
          <w:szCs w:val="22"/>
          <w:lang w:eastAsia="en-US"/>
        </w:rPr>
        <w:t>'</w:t>
      </w:r>
      <w:r w:rsidRPr="00D60FEB">
        <w:rPr>
          <w:color w:val="auto"/>
          <w:sz w:val="22"/>
          <w:szCs w:val="22"/>
          <w:lang w:eastAsia="en-US"/>
        </w:rPr>
        <w:t xml:space="preserve"> outcomes and intentions were </w:t>
      </w:r>
      <w:r w:rsidRPr="00D60FEB">
        <w:rPr>
          <w:color w:val="auto"/>
          <w:sz w:val="22"/>
          <w:szCs w:val="22"/>
          <w:lang w:eastAsia="en-US"/>
        </w:rPr>
        <w:t xml:space="preserve">clearly defined, but of a high level, with no targets set. </w:t>
      </w:r>
    </w:p>
    <w:p w14:paraId="1452EE9D" w14:textId="77777777" w:rsidR="00025FDE" w:rsidRPr="00B62250" w:rsidRDefault="00361BC5" w:rsidP="00025FDE">
      <w:pPr>
        <w:spacing w:after="160" w:line="259" w:lineRule="auto"/>
        <w:ind w:left="0" w:firstLine="0"/>
        <w:jc w:val="both"/>
        <w:rPr>
          <w:color w:val="auto"/>
          <w:sz w:val="22"/>
          <w:szCs w:val="22"/>
          <w:lang w:eastAsia="en-US"/>
        </w:rPr>
      </w:pPr>
      <w:r w:rsidRPr="00B62250">
        <w:rPr>
          <w:color w:val="auto"/>
          <w:sz w:val="22"/>
          <w:szCs w:val="22"/>
          <w:lang w:eastAsia="en-US"/>
        </w:rPr>
        <w:t>The Fund has successfully recycled itself and is now free of the original constraints so can be used to support the LEP's ambitions</w:t>
      </w:r>
      <w:r>
        <w:rPr>
          <w:color w:val="auto"/>
          <w:sz w:val="22"/>
          <w:szCs w:val="22"/>
          <w:lang w:eastAsia="en-US"/>
        </w:rPr>
        <w:t xml:space="preserve"> and agreed priorities</w:t>
      </w:r>
      <w:r w:rsidRPr="00B62250">
        <w:rPr>
          <w:color w:val="auto"/>
          <w:sz w:val="22"/>
          <w:szCs w:val="22"/>
          <w:lang w:eastAsia="en-US"/>
        </w:rPr>
        <w:t>.  Government have confirmed that the funds</w:t>
      </w:r>
      <w:r w:rsidRPr="00B62250">
        <w:rPr>
          <w:color w:val="auto"/>
          <w:sz w:val="22"/>
          <w:szCs w:val="22"/>
          <w:lang w:eastAsia="en-US"/>
        </w:rPr>
        <w:t xml:space="preserve"> can be used for revenue schemes which give the Fund more flexibility. </w:t>
      </w:r>
    </w:p>
    <w:p w14:paraId="4C98BD19" w14:textId="77777777" w:rsidR="00025FDE" w:rsidRDefault="00361BC5" w:rsidP="00025FDE">
      <w:pPr>
        <w:spacing w:after="160" w:line="259" w:lineRule="auto"/>
        <w:ind w:left="0" w:firstLine="0"/>
        <w:jc w:val="both"/>
        <w:rPr>
          <w:color w:val="auto"/>
          <w:sz w:val="22"/>
          <w:szCs w:val="22"/>
          <w:lang w:eastAsia="en-US"/>
        </w:rPr>
      </w:pPr>
      <w:r w:rsidRPr="001F52FE">
        <w:rPr>
          <w:color w:val="auto"/>
          <w:sz w:val="22"/>
          <w:szCs w:val="22"/>
          <w:u w:val="single"/>
          <w:lang w:eastAsia="en-US"/>
        </w:rPr>
        <w:t>Review findings</w:t>
      </w:r>
      <w:r>
        <w:rPr>
          <w:color w:val="auto"/>
          <w:sz w:val="22"/>
          <w:szCs w:val="22"/>
          <w:lang w:eastAsia="en-US"/>
        </w:rPr>
        <w:t xml:space="preserve"> – The review was completed August 21, in consultation  with the Programme Lead and LEP CEO. A summary of the findings is included below. The full detailed report is ava</w:t>
      </w:r>
      <w:r>
        <w:rPr>
          <w:color w:val="auto"/>
          <w:sz w:val="22"/>
          <w:szCs w:val="22"/>
          <w:lang w:eastAsia="en-US"/>
        </w:rPr>
        <w:t>ilable upon request.</w:t>
      </w:r>
    </w:p>
    <w:p w14:paraId="1A9B4D8A" w14:textId="77777777" w:rsidR="00025FDE" w:rsidRDefault="00361BC5" w:rsidP="00025FDE">
      <w:pPr>
        <w:spacing w:after="160" w:line="259" w:lineRule="auto"/>
        <w:ind w:left="0" w:firstLine="0"/>
        <w:jc w:val="both"/>
        <w:rPr>
          <w:color w:val="auto"/>
          <w:sz w:val="22"/>
          <w:szCs w:val="22"/>
          <w:lang w:eastAsia="en-US"/>
        </w:rPr>
      </w:pPr>
      <w:r>
        <w:rPr>
          <w:color w:val="auto"/>
          <w:sz w:val="22"/>
          <w:szCs w:val="22"/>
          <w:lang w:eastAsia="en-US"/>
        </w:rPr>
        <w:t xml:space="preserve">Summary - </w:t>
      </w:r>
      <w:r w:rsidRPr="001F52FE">
        <w:rPr>
          <w:color w:val="auto"/>
          <w:sz w:val="22"/>
          <w:szCs w:val="22"/>
          <w:lang w:eastAsia="en-US"/>
        </w:rPr>
        <w:t>As detailed above, the original government objectives of the fund have been</w:t>
      </w:r>
      <w:r>
        <w:rPr>
          <w:color w:val="auto"/>
          <w:sz w:val="22"/>
          <w:szCs w:val="22"/>
          <w:lang w:eastAsia="en-US"/>
        </w:rPr>
        <w:t xml:space="preserve"> achieved. In addition, the fund continues to provide an investment stream to contribute to the delivery of the LEP Strategic objectives. In terms of </w:t>
      </w:r>
      <w:r>
        <w:rPr>
          <w:color w:val="auto"/>
          <w:sz w:val="22"/>
          <w:szCs w:val="22"/>
          <w:lang w:eastAsia="en-US"/>
        </w:rPr>
        <w:t>impact please refer to Appendix H of this report.</w:t>
      </w:r>
    </w:p>
    <w:p w14:paraId="52FA585C" w14:textId="77777777" w:rsidR="00025FDE" w:rsidRDefault="00361BC5" w:rsidP="00025FDE">
      <w:pPr>
        <w:spacing w:after="160" w:line="259" w:lineRule="auto"/>
        <w:ind w:left="0" w:firstLine="0"/>
        <w:jc w:val="both"/>
        <w:rPr>
          <w:color w:val="auto"/>
          <w:sz w:val="22"/>
          <w:szCs w:val="22"/>
          <w:lang w:eastAsia="en-US"/>
        </w:rPr>
      </w:pPr>
      <w:r>
        <w:rPr>
          <w:color w:val="auto"/>
          <w:sz w:val="22"/>
          <w:szCs w:val="22"/>
          <w:lang w:eastAsia="en-US"/>
        </w:rPr>
        <w:lastRenderedPageBreak/>
        <w:t xml:space="preserve">There are a number of improvements recommendations </w:t>
      </w:r>
      <w:r w:rsidR="00793D17">
        <w:rPr>
          <w:color w:val="auto"/>
          <w:sz w:val="22"/>
          <w:szCs w:val="22"/>
          <w:lang w:eastAsia="en-US"/>
        </w:rPr>
        <w:t>as included in the table below. Further detail can be found in the detailed report, available upon request.</w:t>
      </w:r>
    </w:p>
    <w:tbl>
      <w:tblPr>
        <w:tblStyle w:val="TableGrid"/>
        <w:tblW w:w="9067" w:type="dxa"/>
        <w:tblLook w:val="04A0" w:firstRow="1" w:lastRow="0" w:firstColumn="1" w:lastColumn="0" w:noHBand="0" w:noVBand="1"/>
      </w:tblPr>
      <w:tblGrid>
        <w:gridCol w:w="9067"/>
      </w:tblGrid>
      <w:tr w:rsidR="00D4138C" w14:paraId="0B6E74A4" w14:textId="77777777" w:rsidTr="00B3332B">
        <w:tc>
          <w:tcPr>
            <w:tcW w:w="9067" w:type="dxa"/>
          </w:tcPr>
          <w:p w14:paraId="691CA839" w14:textId="77777777" w:rsidR="00025FDE" w:rsidRPr="00246C60" w:rsidRDefault="00361BC5" w:rsidP="00B3332B">
            <w:pPr>
              <w:jc w:val="both"/>
              <w:rPr>
                <w:b/>
                <w:sz w:val="22"/>
                <w:szCs w:val="22"/>
                <w:u w:val="single"/>
              </w:rPr>
            </w:pPr>
            <w:bookmarkStart w:id="0" w:name="_Hlk80958206"/>
            <w:r w:rsidRPr="00246C60">
              <w:rPr>
                <w:b/>
                <w:sz w:val="22"/>
                <w:szCs w:val="22"/>
                <w:u w:val="single"/>
              </w:rPr>
              <w:t xml:space="preserve">Improvement Recommendations </w:t>
            </w:r>
          </w:p>
        </w:tc>
      </w:tr>
      <w:tr w:rsidR="00D4138C" w14:paraId="13D3CEFE" w14:textId="77777777" w:rsidTr="00B3332B">
        <w:tc>
          <w:tcPr>
            <w:tcW w:w="9067" w:type="dxa"/>
          </w:tcPr>
          <w:p w14:paraId="277D7A91" w14:textId="77777777" w:rsidR="00025FDE" w:rsidRPr="00246C60" w:rsidRDefault="00361BC5" w:rsidP="00025FDE">
            <w:pPr>
              <w:pStyle w:val="ListParagraph"/>
              <w:numPr>
                <w:ilvl w:val="0"/>
                <w:numId w:val="8"/>
              </w:numPr>
              <w:spacing w:after="0" w:line="240" w:lineRule="auto"/>
              <w:jc w:val="both"/>
              <w:rPr>
                <w:bCs/>
                <w:sz w:val="22"/>
                <w:szCs w:val="22"/>
              </w:rPr>
            </w:pPr>
            <w:r w:rsidRPr="00246C60">
              <w:rPr>
                <w:bCs/>
                <w:sz w:val="22"/>
                <w:szCs w:val="22"/>
              </w:rPr>
              <w:t>Clearly define measurable targets</w:t>
            </w:r>
            <w:r>
              <w:rPr>
                <w:bCs/>
                <w:sz w:val="22"/>
                <w:szCs w:val="22"/>
              </w:rPr>
              <w:t xml:space="preserve"> for outputs and impact</w:t>
            </w:r>
          </w:p>
        </w:tc>
      </w:tr>
      <w:tr w:rsidR="00D4138C" w14:paraId="26821CD9" w14:textId="77777777" w:rsidTr="00B3332B">
        <w:tc>
          <w:tcPr>
            <w:tcW w:w="9067" w:type="dxa"/>
          </w:tcPr>
          <w:p w14:paraId="3FB8903C" w14:textId="77777777" w:rsidR="00025FDE" w:rsidRPr="00246C60" w:rsidRDefault="00361BC5" w:rsidP="00025FDE">
            <w:pPr>
              <w:pStyle w:val="ListParagraph"/>
              <w:numPr>
                <w:ilvl w:val="0"/>
                <w:numId w:val="8"/>
              </w:numPr>
              <w:spacing w:after="0" w:line="240" w:lineRule="auto"/>
              <w:jc w:val="both"/>
              <w:rPr>
                <w:bCs/>
                <w:sz w:val="22"/>
                <w:szCs w:val="22"/>
              </w:rPr>
            </w:pPr>
            <w:r w:rsidRPr="00246C60">
              <w:rPr>
                <w:bCs/>
                <w:sz w:val="22"/>
                <w:szCs w:val="22"/>
              </w:rPr>
              <w:t>Consider the utilisation of the funds to support wider LEP Strategic Objectives, whilst balancing maximising loan potential</w:t>
            </w:r>
          </w:p>
        </w:tc>
      </w:tr>
      <w:tr w:rsidR="00D4138C" w14:paraId="634A7299" w14:textId="77777777" w:rsidTr="00B3332B">
        <w:tc>
          <w:tcPr>
            <w:tcW w:w="9067" w:type="dxa"/>
          </w:tcPr>
          <w:p w14:paraId="68997C82" w14:textId="77777777" w:rsidR="00025FDE" w:rsidRPr="00246C60" w:rsidRDefault="00361BC5" w:rsidP="00025FDE">
            <w:pPr>
              <w:pStyle w:val="ListParagraph"/>
              <w:numPr>
                <w:ilvl w:val="0"/>
                <w:numId w:val="8"/>
              </w:numPr>
              <w:spacing w:after="0" w:line="240" w:lineRule="auto"/>
              <w:jc w:val="both"/>
              <w:rPr>
                <w:bCs/>
                <w:sz w:val="22"/>
                <w:szCs w:val="22"/>
              </w:rPr>
            </w:pPr>
            <w:r w:rsidRPr="00246C60">
              <w:rPr>
                <w:bCs/>
                <w:sz w:val="22"/>
                <w:szCs w:val="22"/>
              </w:rPr>
              <w:t xml:space="preserve">Financial Performance – </w:t>
            </w:r>
            <w:r w:rsidRPr="00246C60">
              <w:rPr>
                <w:bCs/>
                <w:sz w:val="22"/>
                <w:szCs w:val="22"/>
              </w:rPr>
              <w:t>Consideration of all programme costs</w:t>
            </w:r>
            <w:r>
              <w:rPr>
                <w:bCs/>
                <w:sz w:val="22"/>
                <w:szCs w:val="22"/>
              </w:rPr>
              <w:t xml:space="preserve"> to be included</w:t>
            </w:r>
            <w:r w:rsidR="00793D17">
              <w:rPr>
                <w:bCs/>
                <w:sz w:val="22"/>
                <w:szCs w:val="22"/>
              </w:rPr>
              <w:t>.</w:t>
            </w:r>
          </w:p>
        </w:tc>
      </w:tr>
      <w:tr w:rsidR="00D4138C" w14:paraId="41F01AA3" w14:textId="77777777" w:rsidTr="00B3332B">
        <w:tc>
          <w:tcPr>
            <w:tcW w:w="9067" w:type="dxa"/>
          </w:tcPr>
          <w:p w14:paraId="3A1B3C96" w14:textId="77777777" w:rsidR="00025FDE" w:rsidRPr="00246C60" w:rsidRDefault="00361BC5" w:rsidP="00025FDE">
            <w:pPr>
              <w:pStyle w:val="ListParagraph"/>
              <w:numPr>
                <w:ilvl w:val="0"/>
                <w:numId w:val="9"/>
              </w:numPr>
              <w:spacing w:after="0" w:line="240" w:lineRule="auto"/>
              <w:jc w:val="both"/>
              <w:rPr>
                <w:bCs/>
                <w:sz w:val="22"/>
                <w:szCs w:val="22"/>
              </w:rPr>
            </w:pPr>
            <w:r w:rsidRPr="00246C60">
              <w:rPr>
                <w:bCs/>
                <w:sz w:val="22"/>
                <w:szCs w:val="22"/>
              </w:rPr>
              <w:t>Local Assurance Framework Updated</w:t>
            </w:r>
            <w:r>
              <w:rPr>
                <w:bCs/>
                <w:sz w:val="22"/>
                <w:szCs w:val="22"/>
              </w:rPr>
              <w:t xml:space="preserve"> </w:t>
            </w:r>
            <w:r w:rsidR="00793D17">
              <w:rPr>
                <w:bCs/>
                <w:sz w:val="22"/>
                <w:szCs w:val="22"/>
              </w:rPr>
              <w:t>as per the contents outlined in the report</w:t>
            </w:r>
          </w:p>
        </w:tc>
      </w:tr>
      <w:tr w:rsidR="00D4138C" w14:paraId="6EC040EB" w14:textId="77777777" w:rsidTr="00B3332B">
        <w:tc>
          <w:tcPr>
            <w:tcW w:w="9067" w:type="dxa"/>
          </w:tcPr>
          <w:p w14:paraId="333AB861" w14:textId="77777777" w:rsidR="00025FDE" w:rsidRPr="00246C60" w:rsidRDefault="00361BC5" w:rsidP="00025FDE">
            <w:pPr>
              <w:pStyle w:val="ListParagraph"/>
              <w:numPr>
                <w:ilvl w:val="0"/>
                <w:numId w:val="9"/>
              </w:numPr>
              <w:spacing w:after="0" w:line="240" w:lineRule="auto"/>
              <w:jc w:val="both"/>
              <w:rPr>
                <w:bCs/>
                <w:sz w:val="22"/>
                <w:szCs w:val="22"/>
              </w:rPr>
            </w:pPr>
            <w:r w:rsidRPr="00246C60">
              <w:rPr>
                <w:bCs/>
                <w:sz w:val="22"/>
                <w:szCs w:val="22"/>
              </w:rPr>
              <w:t>O &amp; S challenge in decision making process role</w:t>
            </w:r>
          </w:p>
        </w:tc>
      </w:tr>
      <w:tr w:rsidR="00D4138C" w14:paraId="47C0F70C" w14:textId="77777777" w:rsidTr="00B3332B">
        <w:tc>
          <w:tcPr>
            <w:tcW w:w="9067" w:type="dxa"/>
          </w:tcPr>
          <w:p w14:paraId="608775D9" w14:textId="77777777" w:rsidR="00025FDE" w:rsidRPr="00246C60" w:rsidRDefault="00361BC5" w:rsidP="00025FDE">
            <w:pPr>
              <w:pStyle w:val="ListParagraph"/>
              <w:numPr>
                <w:ilvl w:val="0"/>
                <w:numId w:val="9"/>
              </w:numPr>
              <w:spacing w:after="0" w:line="240" w:lineRule="auto"/>
              <w:jc w:val="both"/>
              <w:rPr>
                <w:bCs/>
                <w:sz w:val="22"/>
                <w:szCs w:val="22"/>
              </w:rPr>
            </w:pPr>
            <w:r w:rsidRPr="00246C60">
              <w:rPr>
                <w:bCs/>
                <w:sz w:val="22"/>
                <w:szCs w:val="22"/>
              </w:rPr>
              <w:t xml:space="preserve">Social Value Captured </w:t>
            </w:r>
          </w:p>
        </w:tc>
      </w:tr>
      <w:tr w:rsidR="00D4138C" w14:paraId="348B34CF" w14:textId="77777777" w:rsidTr="00B3332B">
        <w:tc>
          <w:tcPr>
            <w:tcW w:w="9067" w:type="dxa"/>
          </w:tcPr>
          <w:p w14:paraId="50D272CE" w14:textId="77777777" w:rsidR="00025FDE" w:rsidRPr="00246C60" w:rsidRDefault="00361BC5" w:rsidP="00025FDE">
            <w:pPr>
              <w:pStyle w:val="ListParagraph"/>
              <w:numPr>
                <w:ilvl w:val="0"/>
                <w:numId w:val="9"/>
              </w:numPr>
              <w:spacing w:after="0" w:line="240" w:lineRule="auto"/>
              <w:jc w:val="both"/>
              <w:rPr>
                <w:bCs/>
                <w:sz w:val="22"/>
                <w:szCs w:val="22"/>
              </w:rPr>
            </w:pPr>
            <w:r w:rsidRPr="00246C60">
              <w:rPr>
                <w:bCs/>
                <w:sz w:val="22"/>
                <w:szCs w:val="22"/>
              </w:rPr>
              <w:t>Marketing / Promotion activity – Communications Pla</w:t>
            </w:r>
            <w:r w:rsidRPr="00246C60">
              <w:rPr>
                <w:bCs/>
                <w:sz w:val="22"/>
                <w:szCs w:val="22"/>
              </w:rPr>
              <w:t xml:space="preserve">n / Review LEP Website contents </w:t>
            </w:r>
          </w:p>
        </w:tc>
      </w:tr>
      <w:tr w:rsidR="00D4138C" w14:paraId="1EE35A87" w14:textId="77777777" w:rsidTr="00B3332B">
        <w:tc>
          <w:tcPr>
            <w:tcW w:w="9067" w:type="dxa"/>
          </w:tcPr>
          <w:p w14:paraId="5B75B939" w14:textId="77777777" w:rsidR="00025FDE" w:rsidRPr="00246C60" w:rsidRDefault="00361BC5" w:rsidP="00025FDE">
            <w:pPr>
              <w:pStyle w:val="ListParagraph"/>
              <w:numPr>
                <w:ilvl w:val="0"/>
                <w:numId w:val="9"/>
              </w:numPr>
              <w:spacing w:after="0" w:line="240" w:lineRule="auto"/>
              <w:jc w:val="both"/>
              <w:rPr>
                <w:bCs/>
                <w:sz w:val="22"/>
                <w:szCs w:val="22"/>
              </w:rPr>
            </w:pPr>
            <w:r w:rsidRPr="00246C60">
              <w:rPr>
                <w:bCs/>
                <w:sz w:val="22"/>
                <w:szCs w:val="22"/>
              </w:rPr>
              <w:t>Internal processes improving</w:t>
            </w:r>
          </w:p>
          <w:p w14:paraId="4E4F993F" w14:textId="77777777" w:rsidR="00025FDE" w:rsidRPr="00246C60" w:rsidRDefault="00361BC5" w:rsidP="00025FDE">
            <w:pPr>
              <w:pStyle w:val="ListParagraph"/>
              <w:numPr>
                <w:ilvl w:val="1"/>
                <w:numId w:val="9"/>
              </w:numPr>
              <w:spacing w:after="0" w:line="240" w:lineRule="auto"/>
              <w:jc w:val="both"/>
              <w:rPr>
                <w:bCs/>
                <w:sz w:val="22"/>
                <w:szCs w:val="22"/>
              </w:rPr>
            </w:pPr>
            <w:r w:rsidRPr="00246C60">
              <w:rPr>
                <w:bCs/>
                <w:sz w:val="22"/>
                <w:szCs w:val="22"/>
              </w:rPr>
              <w:t>Transparency</w:t>
            </w:r>
          </w:p>
          <w:p w14:paraId="5EB6E20C" w14:textId="77777777" w:rsidR="00025FDE" w:rsidRPr="00246C60" w:rsidRDefault="00361BC5" w:rsidP="00025FDE">
            <w:pPr>
              <w:pStyle w:val="ListParagraph"/>
              <w:numPr>
                <w:ilvl w:val="1"/>
                <w:numId w:val="9"/>
              </w:numPr>
              <w:spacing w:after="0" w:line="240" w:lineRule="auto"/>
              <w:jc w:val="both"/>
              <w:rPr>
                <w:bCs/>
                <w:sz w:val="22"/>
                <w:szCs w:val="22"/>
              </w:rPr>
            </w:pPr>
            <w:r w:rsidRPr="00246C60">
              <w:rPr>
                <w:bCs/>
                <w:sz w:val="22"/>
                <w:szCs w:val="22"/>
              </w:rPr>
              <w:t>Resource (legal and finance)</w:t>
            </w:r>
          </w:p>
          <w:p w14:paraId="290AD03C" w14:textId="77777777" w:rsidR="00025FDE" w:rsidRPr="00246C60" w:rsidRDefault="00361BC5" w:rsidP="00025FDE">
            <w:pPr>
              <w:pStyle w:val="ListParagraph"/>
              <w:numPr>
                <w:ilvl w:val="1"/>
                <w:numId w:val="9"/>
              </w:numPr>
              <w:spacing w:after="0" w:line="240" w:lineRule="auto"/>
              <w:jc w:val="both"/>
              <w:rPr>
                <w:bCs/>
                <w:sz w:val="22"/>
                <w:szCs w:val="22"/>
              </w:rPr>
            </w:pPr>
            <w:r w:rsidRPr="00246C60">
              <w:rPr>
                <w:bCs/>
                <w:sz w:val="22"/>
                <w:szCs w:val="22"/>
              </w:rPr>
              <w:t xml:space="preserve">Register / Log – Lessons Learnt, changes to scope, decisions. </w:t>
            </w:r>
          </w:p>
        </w:tc>
      </w:tr>
      <w:tr w:rsidR="00D4138C" w14:paraId="195EDFFE" w14:textId="77777777" w:rsidTr="00B3332B">
        <w:tc>
          <w:tcPr>
            <w:tcW w:w="9067" w:type="dxa"/>
          </w:tcPr>
          <w:p w14:paraId="1314A086" w14:textId="77777777" w:rsidR="00025FDE" w:rsidRPr="001F52FE" w:rsidRDefault="00361BC5" w:rsidP="00025FDE">
            <w:pPr>
              <w:pStyle w:val="ListParagraph"/>
              <w:numPr>
                <w:ilvl w:val="0"/>
                <w:numId w:val="9"/>
              </w:numPr>
              <w:spacing w:after="0" w:line="240" w:lineRule="auto"/>
              <w:jc w:val="both"/>
              <w:rPr>
                <w:sz w:val="22"/>
                <w:szCs w:val="22"/>
              </w:rPr>
            </w:pPr>
            <w:r w:rsidRPr="001F52FE">
              <w:rPr>
                <w:sz w:val="22"/>
                <w:szCs w:val="22"/>
              </w:rPr>
              <w:t>Review Process</w:t>
            </w:r>
            <w:r w:rsidR="00793D17">
              <w:rPr>
                <w:sz w:val="22"/>
                <w:szCs w:val="22"/>
              </w:rPr>
              <w:t xml:space="preserve"> </w:t>
            </w:r>
            <w:r w:rsidRPr="001F52FE">
              <w:rPr>
                <w:sz w:val="22"/>
                <w:szCs w:val="22"/>
              </w:rPr>
              <w:t xml:space="preserve">to be </w:t>
            </w:r>
            <w:r>
              <w:rPr>
                <w:sz w:val="22"/>
                <w:szCs w:val="22"/>
              </w:rPr>
              <w:t>implemented</w:t>
            </w:r>
            <w:r w:rsidR="00793D17">
              <w:rPr>
                <w:sz w:val="22"/>
                <w:szCs w:val="22"/>
              </w:rPr>
              <w:t xml:space="preserve"> within the programme</w:t>
            </w:r>
          </w:p>
        </w:tc>
      </w:tr>
      <w:tr w:rsidR="00D4138C" w14:paraId="5C9B4632" w14:textId="77777777" w:rsidTr="00B3332B">
        <w:tc>
          <w:tcPr>
            <w:tcW w:w="9067" w:type="dxa"/>
          </w:tcPr>
          <w:p w14:paraId="67C3C64C" w14:textId="77777777" w:rsidR="00025FDE" w:rsidRPr="001F52FE" w:rsidRDefault="00361BC5" w:rsidP="00025FDE">
            <w:pPr>
              <w:pStyle w:val="ListParagraph"/>
              <w:numPr>
                <w:ilvl w:val="0"/>
                <w:numId w:val="9"/>
              </w:numPr>
              <w:spacing w:after="0" w:line="240" w:lineRule="auto"/>
              <w:jc w:val="both"/>
              <w:rPr>
                <w:sz w:val="22"/>
                <w:szCs w:val="22"/>
              </w:rPr>
            </w:pPr>
            <w:r w:rsidRPr="001F52FE">
              <w:rPr>
                <w:sz w:val="22"/>
                <w:szCs w:val="22"/>
              </w:rPr>
              <w:t xml:space="preserve">Sharing best practice e.g. </w:t>
            </w:r>
            <w:r w:rsidRPr="001F52FE">
              <w:rPr>
                <w:sz w:val="22"/>
                <w:szCs w:val="22"/>
              </w:rPr>
              <w:t>LEP Network once review recommendations have been completed</w:t>
            </w:r>
          </w:p>
        </w:tc>
      </w:tr>
      <w:bookmarkEnd w:id="0"/>
    </w:tbl>
    <w:p w14:paraId="4BE0DE48" w14:textId="77777777" w:rsidR="00025FDE" w:rsidRDefault="00025FDE" w:rsidP="00025FDE"/>
    <w:p w14:paraId="0CBC3C23" w14:textId="77777777" w:rsidR="00025FDE" w:rsidRPr="00D60FEB" w:rsidRDefault="00361BC5" w:rsidP="00025FDE">
      <w:pPr>
        <w:pStyle w:val="NormalNumbered"/>
        <w:rPr>
          <w:rFonts w:cs="Arial"/>
          <w:b/>
          <w:i/>
          <w:sz w:val="22"/>
          <w:szCs w:val="22"/>
        </w:rPr>
      </w:pPr>
      <w:r w:rsidRPr="00D60FEB">
        <w:rPr>
          <w:rFonts w:cs="Arial"/>
          <w:b/>
          <w:i/>
          <w:sz w:val="22"/>
          <w:szCs w:val="22"/>
        </w:rPr>
        <w:t xml:space="preserve">Risk </w:t>
      </w:r>
    </w:p>
    <w:p w14:paraId="2C5BC53C" w14:textId="77777777" w:rsidR="00025FDE" w:rsidRPr="00D60FEB" w:rsidRDefault="00361BC5" w:rsidP="00025FDE">
      <w:pPr>
        <w:pStyle w:val="NormalNumbered"/>
        <w:rPr>
          <w:rFonts w:cs="Arial"/>
          <w:sz w:val="22"/>
          <w:szCs w:val="22"/>
        </w:rPr>
      </w:pPr>
      <w:r w:rsidRPr="00D60FEB">
        <w:rPr>
          <w:rFonts w:cs="Arial"/>
          <w:sz w:val="22"/>
          <w:szCs w:val="22"/>
        </w:rPr>
        <w:t xml:space="preserve">A Single Portfolio Risk Register for the combined programmes is attached to the main report.  </w:t>
      </w:r>
    </w:p>
    <w:p w14:paraId="57AA6351" w14:textId="77777777" w:rsidR="00025FDE" w:rsidRPr="00D60FEB" w:rsidRDefault="00361BC5" w:rsidP="00025FDE">
      <w:pPr>
        <w:pStyle w:val="Heading5"/>
        <w:rPr>
          <w:rFonts w:ascii="Arial" w:hAnsi="Arial" w:cs="Arial"/>
          <w:b/>
          <w:color w:val="auto"/>
          <w:sz w:val="22"/>
          <w:szCs w:val="22"/>
        </w:rPr>
      </w:pPr>
      <w:r w:rsidRPr="00D60FEB">
        <w:rPr>
          <w:rFonts w:ascii="Arial" w:hAnsi="Arial" w:cs="Arial"/>
          <w:b/>
          <w:color w:val="auto"/>
          <w:sz w:val="22"/>
          <w:szCs w:val="22"/>
        </w:rPr>
        <w:t>List of Background Papers</w:t>
      </w:r>
    </w:p>
    <w:p w14:paraId="3EB0F012" w14:textId="77777777" w:rsidR="00025FDE" w:rsidRPr="00D60FEB" w:rsidRDefault="00025FDE" w:rsidP="00025FDE">
      <w:pPr>
        <w:rPr>
          <w:sz w:val="22"/>
          <w:szCs w:val="22"/>
        </w:rPr>
      </w:pPr>
    </w:p>
    <w:tbl>
      <w:tblPr>
        <w:tblW w:w="0" w:type="auto"/>
        <w:tblLayout w:type="fixed"/>
        <w:tblLook w:val="0000" w:firstRow="0" w:lastRow="0" w:firstColumn="0" w:lastColumn="0" w:noHBand="0" w:noVBand="0"/>
      </w:tblPr>
      <w:tblGrid>
        <w:gridCol w:w="3510"/>
        <w:gridCol w:w="2492"/>
        <w:gridCol w:w="3178"/>
      </w:tblGrid>
      <w:tr w:rsidR="00D4138C" w14:paraId="1863F98D" w14:textId="77777777" w:rsidTr="00B3332B">
        <w:tc>
          <w:tcPr>
            <w:tcW w:w="3510" w:type="dxa"/>
          </w:tcPr>
          <w:p w14:paraId="24F6AD9F" w14:textId="77777777" w:rsidR="00025FDE" w:rsidRPr="00D60FEB" w:rsidRDefault="00361BC5" w:rsidP="00B3332B">
            <w:pPr>
              <w:pStyle w:val="Heading7"/>
              <w:rPr>
                <w:rFonts w:ascii="Arial" w:hAnsi="Arial" w:cs="Arial"/>
                <w:i w:val="0"/>
                <w:color w:val="auto"/>
                <w:sz w:val="22"/>
                <w:szCs w:val="22"/>
              </w:rPr>
            </w:pPr>
            <w:r w:rsidRPr="00D60FEB">
              <w:rPr>
                <w:rFonts w:ascii="Arial" w:hAnsi="Arial" w:cs="Arial"/>
                <w:i w:val="0"/>
                <w:color w:val="auto"/>
                <w:sz w:val="22"/>
                <w:szCs w:val="22"/>
              </w:rPr>
              <w:t>Paper</w:t>
            </w:r>
          </w:p>
        </w:tc>
        <w:tc>
          <w:tcPr>
            <w:tcW w:w="2492" w:type="dxa"/>
          </w:tcPr>
          <w:p w14:paraId="266F6064" w14:textId="77777777" w:rsidR="00025FDE" w:rsidRPr="00D60FEB" w:rsidRDefault="00361BC5" w:rsidP="00B3332B">
            <w:pPr>
              <w:pStyle w:val="Heading7"/>
              <w:rPr>
                <w:rFonts w:ascii="Arial" w:hAnsi="Arial" w:cs="Arial"/>
                <w:i w:val="0"/>
                <w:color w:val="auto"/>
                <w:sz w:val="22"/>
                <w:szCs w:val="22"/>
              </w:rPr>
            </w:pPr>
            <w:r w:rsidRPr="00D60FEB">
              <w:rPr>
                <w:rFonts w:ascii="Arial" w:hAnsi="Arial" w:cs="Arial"/>
                <w:i w:val="0"/>
                <w:color w:val="auto"/>
                <w:sz w:val="22"/>
                <w:szCs w:val="22"/>
              </w:rPr>
              <w:t>Date</w:t>
            </w:r>
          </w:p>
        </w:tc>
        <w:tc>
          <w:tcPr>
            <w:tcW w:w="3178" w:type="dxa"/>
          </w:tcPr>
          <w:p w14:paraId="19D19593" w14:textId="77777777" w:rsidR="00025FDE" w:rsidRPr="00D60FEB" w:rsidRDefault="00361BC5" w:rsidP="00B3332B">
            <w:pPr>
              <w:pStyle w:val="Heading7"/>
              <w:rPr>
                <w:rFonts w:ascii="Arial" w:hAnsi="Arial" w:cs="Arial"/>
                <w:i w:val="0"/>
                <w:color w:val="auto"/>
                <w:sz w:val="22"/>
                <w:szCs w:val="22"/>
              </w:rPr>
            </w:pPr>
            <w:r w:rsidRPr="00D60FEB">
              <w:rPr>
                <w:rFonts w:ascii="Arial" w:hAnsi="Arial" w:cs="Arial"/>
                <w:i w:val="0"/>
                <w:color w:val="auto"/>
                <w:sz w:val="22"/>
                <w:szCs w:val="22"/>
              </w:rPr>
              <w:t>Contact/Tel</w:t>
            </w:r>
          </w:p>
        </w:tc>
      </w:tr>
      <w:tr w:rsidR="00D4138C" w14:paraId="7CBF7E82" w14:textId="77777777" w:rsidTr="00B3332B">
        <w:tc>
          <w:tcPr>
            <w:tcW w:w="3510" w:type="dxa"/>
          </w:tcPr>
          <w:p w14:paraId="4E696532" w14:textId="77777777" w:rsidR="00025FDE" w:rsidRPr="00D60FEB" w:rsidRDefault="00361BC5" w:rsidP="00B3332B">
            <w:pPr>
              <w:rPr>
                <w:color w:val="auto"/>
                <w:sz w:val="22"/>
                <w:szCs w:val="22"/>
              </w:rPr>
            </w:pPr>
            <w:r w:rsidRPr="00D60FEB">
              <w:rPr>
                <w:color w:val="auto"/>
                <w:sz w:val="22"/>
                <w:szCs w:val="22"/>
              </w:rPr>
              <w:t>None</w:t>
            </w:r>
          </w:p>
        </w:tc>
        <w:tc>
          <w:tcPr>
            <w:tcW w:w="2492" w:type="dxa"/>
          </w:tcPr>
          <w:p w14:paraId="3C5C1A3D" w14:textId="77777777" w:rsidR="00025FDE" w:rsidRPr="00D60FEB" w:rsidRDefault="00025FDE" w:rsidP="00B3332B">
            <w:pPr>
              <w:rPr>
                <w:color w:val="auto"/>
                <w:sz w:val="22"/>
                <w:szCs w:val="22"/>
              </w:rPr>
            </w:pPr>
          </w:p>
        </w:tc>
        <w:tc>
          <w:tcPr>
            <w:tcW w:w="3178" w:type="dxa"/>
          </w:tcPr>
          <w:p w14:paraId="34675F4B" w14:textId="77777777" w:rsidR="00025FDE" w:rsidRPr="00D60FEB" w:rsidRDefault="00025FDE" w:rsidP="00B3332B">
            <w:pPr>
              <w:rPr>
                <w:color w:val="auto"/>
                <w:sz w:val="22"/>
                <w:szCs w:val="22"/>
              </w:rPr>
            </w:pPr>
          </w:p>
        </w:tc>
      </w:tr>
      <w:tr w:rsidR="00D4138C" w14:paraId="40C0E327" w14:textId="77777777" w:rsidTr="00B3332B">
        <w:trPr>
          <w:cantSplit/>
        </w:trPr>
        <w:tc>
          <w:tcPr>
            <w:tcW w:w="9180" w:type="dxa"/>
            <w:gridSpan w:val="3"/>
          </w:tcPr>
          <w:p w14:paraId="36589F63" w14:textId="77777777" w:rsidR="00361BC5" w:rsidRDefault="00361BC5" w:rsidP="00B3332B">
            <w:pPr>
              <w:rPr>
                <w:sz w:val="22"/>
                <w:szCs w:val="22"/>
              </w:rPr>
            </w:pPr>
          </w:p>
          <w:p w14:paraId="59653F41" w14:textId="6141DA17" w:rsidR="00025FDE" w:rsidRPr="00D60FEB" w:rsidRDefault="00361BC5" w:rsidP="00B3332B">
            <w:pPr>
              <w:rPr>
                <w:sz w:val="22"/>
                <w:szCs w:val="22"/>
              </w:rPr>
            </w:pPr>
            <w:r w:rsidRPr="00D60FEB">
              <w:rPr>
                <w:sz w:val="22"/>
                <w:szCs w:val="22"/>
              </w:rPr>
              <w:t xml:space="preserve">Reason for inclusion in Part II, if appropriate </w:t>
            </w:r>
          </w:p>
          <w:p w14:paraId="4BA1C9B2" w14:textId="77777777" w:rsidR="00361BC5" w:rsidRDefault="00361BC5" w:rsidP="00B3332B">
            <w:pPr>
              <w:rPr>
                <w:color w:val="auto"/>
                <w:sz w:val="22"/>
                <w:szCs w:val="22"/>
              </w:rPr>
            </w:pPr>
          </w:p>
          <w:p w14:paraId="1C388E89" w14:textId="3ECC889F" w:rsidR="00025FDE" w:rsidRPr="00D60FEB" w:rsidRDefault="00361BC5" w:rsidP="00B3332B">
            <w:pPr>
              <w:rPr>
                <w:sz w:val="22"/>
                <w:szCs w:val="22"/>
              </w:rPr>
            </w:pPr>
            <w:r>
              <w:rPr>
                <w:color w:val="auto"/>
                <w:sz w:val="22"/>
                <w:szCs w:val="22"/>
              </w:rPr>
              <w:t xml:space="preserve">Appendix J of this report will be considered as a Part II item. </w:t>
            </w:r>
          </w:p>
        </w:tc>
      </w:tr>
    </w:tbl>
    <w:p w14:paraId="42D730A6" w14:textId="77777777" w:rsidR="00025FDE" w:rsidRPr="00D60FEB" w:rsidRDefault="00025FDE" w:rsidP="00025FDE">
      <w:pPr>
        <w:ind w:left="0" w:firstLine="0"/>
        <w:rPr>
          <w:sz w:val="22"/>
          <w:szCs w:val="22"/>
        </w:rPr>
      </w:pPr>
    </w:p>
    <w:p w14:paraId="54723635" w14:textId="77777777" w:rsidR="005D0C06" w:rsidRPr="00025FDE" w:rsidRDefault="005D0C06" w:rsidP="00025FDE"/>
    <w:sectPr w:rsidR="005D0C06" w:rsidRPr="00025FD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91910" w14:textId="77777777" w:rsidR="00000000" w:rsidRDefault="00361BC5">
      <w:pPr>
        <w:spacing w:after="0" w:line="240" w:lineRule="auto"/>
      </w:pPr>
      <w:r>
        <w:separator/>
      </w:r>
    </w:p>
  </w:endnote>
  <w:endnote w:type="continuationSeparator" w:id="0">
    <w:p w14:paraId="39F71E57" w14:textId="77777777" w:rsidR="00000000" w:rsidRDefault="00361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66A4B" w14:textId="77777777" w:rsidR="00000000" w:rsidRDefault="00361BC5">
      <w:pPr>
        <w:spacing w:after="0" w:line="240" w:lineRule="auto"/>
      </w:pPr>
      <w:r>
        <w:separator/>
      </w:r>
    </w:p>
  </w:footnote>
  <w:footnote w:type="continuationSeparator" w:id="0">
    <w:p w14:paraId="38D266F8" w14:textId="77777777" w:rsidR="00000000" w:rsidRDefault="00361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22615" w14:textId="77777777" w:rsidR="00CF1133" w:rsidRDefault="00361BC5">
    <w:pPr>
      <w:pStyle w:val="Header"/>
    </w:pPr>
    <w:r>
      <w:rPr>
        <w:noProof/>
      </w:rPr>
      <w:drawing>
        <wp:anchor distT="0" distB="0" distL="114300" distR="114300" simplePos="0" relativeHeight="251658240" behindDoc="0" locked="0" layoutInCell="1" allowOverlap="1" wp14:anchorId="55BF89AD" wp14:editId="30118339">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83553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5D63947"/>
    <w:multiLevelType w:val="hybridMultilevel"/>
    <w:tmpl w:val="4EC66D06"/>
    <w:lvl w:ilvl="0" w:tplc="A1525B8C">
      <w:start w:val="1"/>
      <w:numFmt w:val="bullet"/>
      <w:lvlText w:val=""/>
      <w:lvlJc w:val="left"/>
      <w:pPr>
        <w:ind w:left="720" w:hanging="360"/>
      </w:pPr>
      <w:rPr>
        <w:rFonts w:ascii="Wingdings" w:hAnsi="Wingdings" w:hint="default"/>
      </w:rPr>
    </w:lvl>
    <w:lvl w:ilvl="1" w:tplc="824AC726" w:tentative="1">
      <w:start w:val="1"/>
      <w:numFmt w:val="bullet"/>
      <w:lvlText w:val="o"/>
      <w:lvlJc w:val="left"/>
      <w:pPr>
        <w:ind w:left="1440" w:hanging="360"/>
      </w:pPr>
      <w:rPr>
        <w:rFonts w:ascii="Courier New" w:hAnsi="Courier New" w:cs="Courier New" w:hint="default"/>
      </w:rPr>
    </w:lvl>
    <w:lvl w:ilvl="2" w:tplc="A39C2264" w:tentative="1">
      <w:start w:val="1"/>
      <w:numFmt w:val="bullet"/>
      <w:lvlText w:val=""/>
      <w:lvlJc w:val="left"/>
      <w:pPr>
        <w:ind w:left="2160" w:hanging="360"/>
      </w:pPr>
      <w:rPr>
        <w:rFonts w:ascii="Wingdings" w:hAnsi="Wingdings" w:hint="default"/>
      </w:rPr>
    </w:lvl>
    <w:lvl w:ilvl="3" w:tplc="9FAC234A" w:tentative="1">
      <w:start w:val="1"/>
      <w:numFmt w:val="bullet"/>
      <w:lvlText w:val=""/>
      <w:lvlJc w:val="left"/>
      <w:pPr>
        <w:ind w:left="2880" w:hanging="360"/>
      </w:pPr>
      <w:rPr>
        <w:rFonts w:ascii="Symbol" w:hAnsi="Symbol" w:hint="default"/>
      </w:rPr>
    </w:lvl>
    <w:lvl w:ilvl="4" w:tplc="3D065C7C" w:tentative="1">
      <w:start w:val="1"/>
      <w:numFmt w:val="bullet"/>
      <w:lvlText w:val="o"/>
      <w:lvlJc w:val="left"/>
      <w:pPr>
        <w:ind w:left="3600" w:hanging="360"/>
      </w:pPr>
      <w:rPr>
        <w:rFonts w:ascii="Courier New" w:hAnsi="Courier New" w:cs="Courier New" w:hint="default"/>
      </w:rPr>
    </w:lvl>
    <w:lvl w:ilvl="5" w:tplc="7848D6E4" w:tentative="1">
      <w:start w:val="1"/>
      <w:numFmt w:val="bullet"/>
      <w:lvlText w:val=""/>
      <w:lvlJc w:val="left"/>
      <w:pPr>
        <w:ind w:left="4320" w:hanging="360"/>
      </w:pPr>
      <w:rPr>
        <w:rFonts w:ascii="Wingdings" w:hAnsi="Wingdings" w:hint="default"/>
      </w:rPr>
    </w:lvl>
    <w:lvl w:ilvl="6" w:tplc="98349574" w:tentative="1">
      <w:start w:val="1"/>
      <w:numFmt w:val="bullet"/>
      <w:lvlText w:val=""/>
      <w:lvlJc w:val="left"/>
      <w:pPr>
        <w:ind w:left="5040" w:hanging="360"/>
      </w:pPr>
      <w:rPr>
        <w:rFonts w:ascii="Symbol" w:hAnsi="Symbol" w:hint="default"/>
      </w:rPr>
    </w:lvl>
    <w:lvl w:ilvl="7" w:tplc="EBB4072C" w:tentative="1">
      <w:start w:val="1"/>
      <w:numFmt w:val="bullet"/>
      <w:lvlText w:val="o"/>
      <w:lvlJc w:val="left"/>
      <w:pPr>
        <w:ind w:left="5760" w:hanging="360"/>
      </w:pPr>
      <w:rPr>
        <w:rFonts w:ascii="Courier New" w:hAnsi="Courier New" w:cs="Courier New" w:hint="default"/>
      </w:rPr>
    </w:lvl>
    <w:lvl w:ilvl="8" w:tplc="84C2972E" w:tentative="1">
      <w:start w:val="1"/>
      <w:numFmt w:val="bullet"/>
      <w:lvlText w:val=""/>
      <w:lvlJc w:val="left"/>
      <w:pPr>
        <w:ind w:left="6480" w:hanging="360"/>
      </w:pPr>
      <w:rPr>
        <w:rFonts w:ascii="Wingdings" w:hAnsi="Wingdings" w:hint="default"/>
      </w:rPr>
    </w:lvl>
  </w:abstractNum>
  <w:abstractNum w:abstractNumId="2" w15:restartNumberingAfterBreak="0">
    <w:nsid w:val="2C9A4D51"/>
    <w:multiLevelType w:val="hybridMultilevel"/>
    <w:tmpl w:val="6E925A56"/>
    <w:lvl w:ilvl="0" w:tplc="DFE04DB6">
      <w:start w:val="1"/>
      <w:numFmt w:val="bullet"/>
      <w:lvlText w:val=""/>
      <w:lvlJc w:val="left"/>
      <w:pPr>
        <w:ind w:left="360" w:hanging="360"/>
      </w:pPr>
      <w:rPr>
        <w:rFonts w:ascii="Wingdings" w:hAnsi="Wingdings" w:hint="default"/>
      </w:rPr>
    </w:lvl>
    <w:lvl w:ilvl="1" w:tplc="CEBA2B5E">
      <w:start w:val="1"/>
      <w:numFmt w:val="bullet"/>
      <w:lvlText w:val="o"/>
      <w:lvlJc w:val="left"/>
      <w:pPr>
        <w:ind w:left="1080" w:hanging="360"/>
      </w:pPr>
      <w:rPr>
        <w:rFonts w:ascii="Courier New" w:hAnsi="Courier New" w:cs="Courier New" w:hint="default"/>
      </w:rPr>
    </w:lvl>
    <w:lvl w:ilvl="2" w:tplc="0DE686C4" w:tentative="1">
      <w:start w:val="1"/>
      <w:numFmt w:val="bullet"/>
      <w:lvlText w:val=""/>
      <w:lvlJc w:val="left"/>
      <w:pPr>
        <w:ind w:left="1800" w:hanging="360"/>
      </w:pPr>
      <w:rPr>
        <w:rFonts w:ascii="Wingdings" w:hAnsi="Wingdings" w:hint="default"/>
      </w:rPr>
    </w:lvl>
    <w:lvl w:ilvl="3" w:tplc="849CBEC8" w:tentative="1">
      <w:start w:val="1"/>
      <w:numFmt w:val="bullet"/>
      <w:lvlText w:val=""/>
      <w:lvlJc w:val="left"/>
      <w:pPr>
        <w:ind w:left="2520" w:hanging="360"/>
      </w:pPr>
      <w:rPr>
        <w:rFonts w:ascii="Symbol" w:hAnsi="Symbol" w:hint="default"/>
      </w:rPr>
    </w:lvl>
    <w:lvl w:ilvl="4" w:tplc="9C2A9D6C" w:tentative="1">
      <w:start w:val="1"/>
      <w:numFmt w:val="bullet"/>
      <w:lvlText w:val="o"/>
      <w:lvlJc w:val="left"/>
      <w:pPr>
        <w:ind w:left="3240" w:hanging="360"/>
      </w:pPr>
      <w:rPr>
        <w:rFonts w:ascii="Courier New" w:hAnsi="Courier New" w:cs="Courier New" w:hint="default"/>
      </w:rPr>
    </w:lvl>
    <w:lvl w:ilvl="5" w:tplc="C042245A" w:tentative="1">
      <w:start w:val="1"/>
      <w:numFmt w:val="bullet"/>
      <w:lvlText w:val=""/>
      <w:lvlJc w:val="left"/>
      <w:pPr>
        <w:ind w:left="3960" w:hanging="360"/>
      </w:pPr>
      <w:rPr>
        <w:rFonts w:ascii="Wingdings" w:hAnsi="Wingdings" w:hint="default"/>
      </w:rPr>
    </w:lvl>
    <w:lvl w:ilvl="6" w:tplc="D2B27450" w:tentative="1">
      <w:start w:val="1"/>
      <w:numFmt w:val="bullet"/>
      <w:lvlText w:val=""/>
      <w:lvlJc w:val="left"/>
      <w:pPr>
        <w:ind w:left="4680" w:hanging="360"/>
      </w:pPr>
      <w:rPr>
        <w:rFonts w:ascii="Symbol" w:hAnsi="Symbol" w:hint="default"/>
      </w:rPr>
    </w:lvl>
    <w:lvl w:ilvl="7" w:tplc="A8AA2A1C" w:tentative="1">
      <w:start w:val="1"/>
      <w:numFmt w:val="bullet"/>
      <w:lvlText w:val="o"/>
      <w:lvlJc w:val="left"/>
      <w:pPr>
        <w:ind w:left="5400" w:hanging="360"/>
      </w:pPr>
      <w:rPr>
        <w:rFonts w:ascii="Courier New" w:hAnsi="Courier New" w:cs="Courier New" w:hint="default"/>
      </w:rPr>
    </w:lvl>
    <w:lvl w:ilvl="8" w:tplc="F3E2B19C" w:tentative="1">
      <w:start w:val="1"/>
      <w:numFmt w:val="bullet"/>
      <w:lvlText w:val=""/>
      <w:lvlJc w:val="left"/>
      <w:pPr>
        <w:ind w:left="6120" w:hanging="360"/>
      </w:pPr>
      <w:rPr>
        <w:rFonts w:ascii="Wingdings" w:hAnsi="Wingdings" w:hint="default"/>
      </w:rPr>
    </w:lvl>
  </w:abstractNum>
  <w:abstractNum w:abstractNumId="3" w15:restartNumberingAfterBreak="0">
    <w:nsid w:val="2D2473D4"/>
    <w:multiLevelType w:val="hybridMultilevel"/>
    <w:tmpl w:val="0BBA2C0C"/>
    <w:lvl w:ilvl="0" w:tplc="93C0A6BE">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6AAEFB2E">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B57E3080">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FAD69F44">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73DC3A02">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AFC81598">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DB280D8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403A7FDC">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AB5A080A">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4" w15:restartNumberingAfterBreak="0">
    <w:nsid w:val="359B49BE"/>
    <w:multiLevelType w:val="hybridMultilevel"/>
    <w:tmpl w:val="A68615A2"/>
    <w:lvl w:ilvl="0" w:tplc="0360E1F8">
      <w:start w:val="1"/>
      <w:numFmt w:val="bullet"/>
      <w:lvlText w:val=""/>
      <w:lvlJc w:val="left"/>
      <w:pPr>
        <w:ind w:left="360" w:hanging="360"/>
      </w:pPr>
      <w:rPr>
        <w:rFonts w:ascii="Wingdings" w:hAnsi="Wingdings" w:hint="default"/>
      </w:rPr>
    </w:lvl>
    <w:lvl w:ilvl="1" w:tplc="6854ED1C" w:tentative="1">
      <w:start w:val="1"/>
      <w:numFmt w:val="bullet"/>
      <w:lvlText w:val="o"/>
      <w:lvlJc w:val="left"/>
      <w:pPr>
        <w:ind w:left="1080" w:hanging="360"/>
      </w:pPr>
      <w:rPr>
        <w:rFonts w:ascii="Courier New" w:hAnsi="Courier New" w:cs="Courier New" w:hint="default"/>
      </w:rPr>
    </w:lvl>
    <w:lvl w:ilvl="2" w:tplc="0C847752" w:tentative="1">
      <w:start w:val="1"/>
      <w:numFmt w:val="bullet"/>
      <w:lvlText w:val=""/>
      <w:lvlJc w:val="left"/>
      <w:pPr>
        <w:ind w:left="1800" w:hanging="360"/>
      </w:pPr>
      <w:rPr>
        <w:rFonts w:ascii="Wingdings" w:hAnsi="Wingdings" w:hint="default"/>
      </w:rPr>
    </w:lvl>
    <w:lvl w:ilvl="3" w:tplc="2770573E" w:tentative="1">
      <w:start w:val="1"/>
      <w:numFmt w:val="bullet"/>
      <w:lvlText w:val=""/>
      <w:lvlJc w:val="left"/>
      <w:pPr>
        <w:ind w:left="2520" w:hanging="360"/>
      </w:pPr>
      <w:rPr>
        <w:rFonts w:ascii="Symbol" w:hAnsi="Symbol" w:hint="default"/>
      </w:rPr>
    </w:lvl>
    <w:lvl w:ilvl="4" w:tplc="7A78EE36" w:tentative="1">
      <w:start w:val="1"/>
      <w:numFmt w:val="bullet"/>
      <w:lvlText w:val="o"/>
      <w:lvlJc w:val="left"/>
      <w:pPr>
        <w:ind w:left="3240" w:hanging="360"/>
      </w:pPr>
      <w:rPr>
        <w:rFonts w:ascii="Courier New" w:hAnsi="Courier New" w:cs="Courier New" w:hint="default"/>
      </w:rPr>
    </w:lvl>
    <w:lvl w:ilvl="5" w:tplc="1118077E" w:tentative="1">
      <w:start w:val="1"/>
      <w:numFmt w:val="bullet"/>
      <w:lvlText w:val=""/>
      <w:lvlJc w:val="left"/>
      <w:pPr>
        <w:ind w:left="3960" w:hanging="360"/>
      </w:pPr>
      <w:rPr>
        <w:rFonts w:ascii="Wingdings" w:hAnsi="Wingdings" w:hint="default"/>
      </w:rPr>
    </w:lvl>
    <w:lvl w:ilvl="6" w:tplc="B39C1878" w:tentative="1">
      <w:start w:val="1"/>
      <w:numFmt w:val="bullet"/>
      <w:lvlText w:val=""/>
      <w:lvlJc w:val="left"/>
      <w:pPr>
        <w:ind w:left="4680" w:hanging="360"/>
      </w:pPr>
      <w:rPr>
        <w:rFonts w:ascii="Symbol" w:hAnsi="Symbol" w:hint="default"/>
      </w:rPr>
    </w:lvl>
    <w:lvl w:ilvl="7" w:tplc="080E7E06" w:tentative="1">
      <w:start w:val="1"/>
      <w:numFmt w:val="bullet"/>
      <w:lvlText w:val="o"/>
      <w:lvlJc w:val="left"/>
      <w:pPr>
        <w:ind w:left="5400" w:hanging="360"/>
      </w:pPr>
      <w:rPr>
        <w:rFonts w:ascii="Courier New" w:hAnsi="Courier New" w:cs="Courier New" w:hint="default"/>
      </w:rPr>
    </w:lvl>
    <w:lvl w:ilvl="8" w:tplc="3C8AD546" w:tentative="1">
      <w:start w:val="1"/>
      <w:numFmt w:val="bullet"/>
      <w:lvlText w:val=""/>
      <w:lvlJc w:val="left"/>
      <w:pPr>
        <w:ind w:left="6120" w:hanging="360"/>
      </w:pPr>
      <w:rPr>
        <w:rFonts w:ascii="Wingdings" w:hAnsi="Wingdings" w:hint="default"/>
      </w:rPr>
    </w:lvl>
  </w:abstractNum>
  <w:abstractNum w:abstractNumId="5" w15:restartNumberingAfterBreak="0">
    <w:nsid w:val="4B16603A"/>
    <w:multiLevelType w:val="hybridMultilevel"/>
    <w:tmpl w:val="63A2AD18"/>
    <w:lvl w:ilvl="0" w:tplc="33604A36">
      <w:start w:val="1"/>
      <w:numFmt w:val="bullet"/>
      <w:lvlText w:val=""/>
      <w:lvlJc w:val="left"/>
      <w:pPr>
        <w:ind w:left="360" w:hanging="360"/>
      </w:pPr>
      <w:rPr>
        <w:rFonts w:ascii="Wingdings" w:hAnsi="Wingdings" w:hint="default"/>
      </w:rPr>
    </w:lvl>
    <w:lvl w:ilvl="1" w:tplc="50C0500E" w:tentative="1">
      <w:start w:val="1"/>
      <w:numFmt w:val="bullet"/>
      <w:lvlText w:val="o"/>
      <w:lvlJc w:val="left"/>
      <w:pPr>
        <w:ind w:left="1080" w:hanging="360"/>
      </w:pPr>
      <w:rPr>
        <w:rFonts w:ascii="Courier New" w:hAnsi="Courier New" w:cs="Courier New" w:hint="default"/>
      </w:rPr>
    </w:lvl>
    <w:lvl w:ilvl="2" w:tplc="A7B450D2" w:tentative="1">
      <w:start w:val="1"/>
      <w:numFmt w:val="bullet"/>
      <w:lvlText w:val=""/>
      <w:lvlJc w:val="left"/>
      <w:pPr>
        <w:ind w:left="1800" w:hanging="360"/>
      </w:pPr>
      <w:rPr>
        <w:rFonts w:ascii="Wingdings" w:hAnsi="Wingdings" w:hint="default"/>
      </w:rPr>
    </w:lvl>
    <w:lvl w:ilvl="3" w:tplc="DC1CB5A2" w:tentative="1">
      <w:start w:val="1"/>
      <w:numFmt w:val="bullet"/>
      <w:lvlText w:val=""/>
      <w:lvlJc w:val="left"/>
      <w:pPr>
        <w:ind w:left="2520" w:hanging="360"/>
      </w:pPr>
      <w:rPr>
        <w:rFonts w:ascii="Symbol" w:hAnsi="Symbol" w:hint="default"/>
      </w:rPr>
    </w:lvl>
    <w:lvl w:ilvl="4" w:tplc="B992BD92" w:tentative="1">
      <w:start w:val="1"/>
      <w:numFmt w:val="bullet"/>
      <w:lvlText w:val="o"/>
      <w:lvlJc w:val="left"/>
      <w:pPr>
        <w:ind w:left="3240" w:hanging="360"/>
      </w:pPr>
      <w:rPr>
        <w:rFonts w:ascii="Courier New" w:hAnsi="Courier New" w:cs="Courier New" w:hint="default"/>
      </w:rPr>
    </w:lvl>
    <w:lvl w:ilvl="5" w:tplc="17629132" w:tentative="1">
      <w:start w:val="1"/>
      <w:numFmt w:val="bullet"/>
      <w:lvlText w:val=""/>
      <w:lvlJc w:val="left"/>
      <w:pPr>
        <w:ind w:left="3960" w:hanging="360"/>
      </w:pPr>
      <w:rPr>
        <w:rFonts w:ascii="Wingdings" w:hAnsi="Wingdings" w:hint="default"/>
      </w:rPr>
    </w:lvl>
    <w:lvl w:ilvl="6" w:tplc="A36CEE68" w:tentative="1">
      <w:start w:val="1"/>
      <w:numFmt w:val="bullet"/>
      <w:lvlText w:val=""/>
      <w:lvlJc w:val="left"/>
      <w:pPr>
        <w:ind w:left="4680" w:hanging="360"/>
      </w:pPr>
      <w:rPr>
        <w:rFonts w:ascii="Symbol" w:hAnsi="Symbol" w:hint="default"/>
      </w:rPr>
    </w:lvl>
    <w:lvl w:ilvl="7" w:tplc="918886E2" w:tentative="1">
      <w:start w:val="1"/>
      <w:numFmt w:val="bullet"/>
      <w:lvlText w:val="o"/>
      <w:lvlJc w:val="left"/>
      <w:pPr>
        <w:ind w:left="5400" w:hanging="360"/>
      </w:pPr>
      <w:rPr>
        <w:rFonts w:ascii="Courier New" w:hAnsi="Courier New" w:cs="Courier New" w:hint="default"/>
      </w:rPr>
    </w:lvl>
    <w:lvl w:ilvl="8" w:tplc="29980734" w:tentative="1">
      <w:start w:val="1"/>
      <w:numFmt w:val="bullet"/>
      <w:lvlText w:val=""/>
      <w:lvlJc w:val="left"/>
      <w:pPr>
        <w:ind w:left="6120" w:hanging="360"/>
      </w:pPr>
      <w:rPr>
        <w:rFonts w:ascii="Wingdings" w:hAnsi="Wingdings" w:hint="default"/>
      </w:rPr>
    </w:lvl>
  </w:abstractNum>
  <w:abstractNum w:abstractNumId="6"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7" w15:restartNumberingAfterBreak="0">
    <w:nsid w:val="61775AA3"/>
    <w:multiLevelType w:val="hybridMultilevel"/>
    <w:tmpl w:val="EECA6AF2"/>
    <w:lvl w:ilvl="0" w:tplc="5852A5AC">
      <w:start w:val="1"/>
      <w:numFmt w:val="bullet"/>
      <w:lvlText w:val=""/>
      <w:lvlJc w:val="left"/>
      <w:pPr>
        <w:ind w:left="360" w:hanging="360"/>
      </w:pPr>
      <w:rPr>
        <w:rFonts w:ascii="Wingdings" w:hAnsi="Wingdings" w:hint="default"/>
      </w:rPr>
    </w:lvl>
    <w:lvl w:ilvl="1" w:tplc="2824504A">
      <w:numFmt w:val="bullet"/>
      <w:lvlText w:val="-"/>
      <w:lvlJc w:val="left"/>
      <w:pPr>
        <w:ind w:left="1080" w:hanging="360"/>
      </w:pPr>
      <w:rPr>
        <w:rFonts w:ascii="Arial" w:eastAsia="Calibri" w:hAnsi="Arial" w:cs="Arial" w:hint="default"/>
      </w:rPr>
    </w:lvl>
    <w:lvl w:ilvl="2" w:tplc="AAB4587C" w:tentative="1">
      <w:start w:val="1"/>
      <w:numFmt w:val="bullet"/>
      <w:lvlText w:val=""/>
      <w:lvlJc w:val="left"/>
      <w:pPr>
        <w:ind w:left="1800" w:hanging="360"/>
      </w:pPr>
      <w:rPr>
        <w:rFonts w:ascii="Wingdings" w:hAnsi="Wingdings" w:hint="default"/>
      </w:rPr>
    </w:lvl>
    <w:lvl w:ilvl="3" w:tplc="F0C0BED0" w:tentative="1">
      <w:start w:val="1"/>
      <w:numFmt w:val="bullet"/>
      <w:lvlText w:val=""/>
      <w:lvlJc w:val="left"/>
      <w:pPr>
        <w:ind w:left="2520" w:hanging="360"/>
      </w:pPr>
      <w:rPr>
        <w:rFonts w:ascii="Symbol" w:hAnsi="Symbol" w:hint="default"/>
      </w:rPr>
    </w:lvl>
    <w:lvl w:ilvl="4" w:tplc="AE685DD4" w:tentative="1">
      <w:start w:val="1"/>
      <w:numFmt w:val="bullet"/>
      <w:lvlText w:val="o"/>
      <w:lvlJc w:val="left"/>
      <w:pPr>
        <w:ind w:left="3240" w:hanging="360"/>
      </w:pPr>
      <w:rPr>
        <w:rFonts w:ascii="Courier New" w:hAnsi="Courier New" w:cs="Courier New" w:hint="default"/>
      </w:rPr>
    </w:lvl>
    <w:lvl w:ilvl="5" w:tplc="F68051B6" w:tentative="1">
      <w:start w:val="1"/>
      <w:numFmt w:val="bullet"/>
      <w:lvlText w:val=""/>
      <w:lvlJc w:val="left"/>
      <w:pPr>
        <w:ind w:left="3960" w:hanging="360"/>
      </w:pPr>
      <w:rPr>
        <w:rFonts w:ascii="Wingdings" w:hAnsi="Wingdings" w:hint="default"/>
      </w:rPr>
    </w:lvl>
    <w:lvl w:ilvl="6" w:tplc="45403572" w:tentative="1">
      <w:start w:val="1"/>
      <w:numFmt w:val="bullet"/>
      <w:lvlText w:val=""/>
      <w:lvlJc w:val="left"/>
      <w:pPr>
        <w:ind w:left="4680" w:hanging="360"/>
      </w:pPr>
      <w:rPr>
        <w:rFonts w:ascii="Symbol" w:hAnsi="Symbol" w:hint="default"/>
      </w:rPr>
    </w:lvl>
    <w:lvl w:ilvl="7" w:tplc="D3C27504" w:tentative="1">
      <w:start w:val="1"/>
      <w:numFmt w:val="bullet"/>
      <w:lvlText w:val="o"/>
      <w:lvlJc w:val="left"/>
      <w:pPr>
        <w:ind w:left="5400" w:hanging="360"/>
      </w:pPr>
      <w:rPr>
        <w:rFonts w:ascii="Courier New" w:hAnsi="Courier New" w:cs="Courier New" w:hint="default"/>
      </w:rPr>
    </w:lvl>
    <w:lvl w:ilvl="8" w:tplc="77AA1982" w:tentative="1">
      <w:start w:val="1"/>
      <w:numFmt w:val="bullet"/>
      <w:lvlText w:val=""/>
      <w:lvlJc w:val="left"/>
      <w:pPr>
        <w:ind w:left="6120" w:hanging="360"/>
      </w:pPr>
      <w:rPr>
        <w:rFonts w:ascii="Wingdings" w:hAnsi="Wingdings" w:hint="default"/>
      </w:rPr>
    </w:lvl>
  </w:abstractNum>
  <w:abstractNum w:abstractNumId="8" w15:restartNumberingAfterBreak="0">
    <w:nsid w:val="6D1E678F"/>
    <w:multiLevelType w:val="hybridMultilevel"/>
    <w:tmpl w:val="6C183AD0"/>
    <w:lvl w:ilvl="0" w:tplc="84D45196">
      <w:start w:val="1"/>
      <w:numFmt w:val="bullet"/>
      <w:lvlText w:val=""/>
      <w:lvlJc w:val="left"/>
      <w:pPr>
        <w:ind w:left="360" w:hanging="360"/>
      </w:pPr>
      <w:rPr>
        <w:rFonts w:ascii="Wingdings" w:hAnsi="Wingdings" w:hint="default"/>
      </w:rPr>
    </w:lvl>
    <w:lvl w:ilvl="1" w:tplc="5ABC5AC8">
      <w:start w:val="1"/>
      <w:numFmt w:val="bullet"/>
      <w:lvlText w:val="o"/>
      <w:lvlJc w:val="left"/>
      <w:pPr>
        <w:ind w:left="1080" w:hanging="360"/>
      </w:pPr>
      <w:rPr>
        <w:rFonts w:ascii="Courier New" w:hAnsi="Courier New" w:cs="Courier New" w:hint="default"/>
      </w:rPr>
    </w:lvl>
    <w:lvl w:ilvl="2" w:tplc="11DEEC1E">
      <w:start w:val="1"/>
      <w:numFmt w:val="bullet"/>
      <w:lvlText w:val=""/>
      <w:lvlJc w:val="left"/>
      <w:pPr>
        <w:ind w:left="1800" w:hanging="360"/>
      </w:pPr>
      <w:rPr>
        <w:rFonts w:ascii="Wingdings" w:hAnsi="Wingdings" w:hint="default"/>
      </w:rPr>
    </w:lvl>
    <w:lvl w:ilvl="3" w:tplc="E1A2AE7C">
      <w:start w:val="1"/>
      <w:numFmt w:val="bullet"/>
      <w:lvlText w:val=""/>
      <w:lvlJc w:val="left"/>
      <w:pPr>
        <w:ind w:left="2520" w:hanging="360"/>
      </w:pPr>
      <w:rPr>
        <w:rFonts w:ascii="Symbol" w:hAnsi="Symbol" w:hint="default"/>
      </w:rPr>
    </w:lvl>
    <w:lvl w:ilvl="4" w:tplc="5304490C">
      <w:start w:val="1"/>
      <w:numFmt w:val="bullet"/>
      <w:lvlText w:val="o"/>
      <w:lvlJc w:val="left"/>
      <w:pPr>
        <w:ind w:left="3240" w:hanging="360"/>
      </w:pPr>
      <w:rPr>
        <w:rFonts w:ascii="Courier New" w:hAnsi="Courier New" w:cs="Courier New" w:hint="default"/>
      </w:rPr>
    </w:lvl>
    <w:lvl w:ilvl="5" w:tplc="C50005EE">
      <w:start w:val="1"/>
      <w:numFmt w:val="bullet"/>
      <w:lvlText w:val=""/>
      <w:lvlJc w:val="left"/>
      <w:pPr>
        <w:ind w:left="3960" w:hanging="360"/>
      </w:pPr>
      <w:rPr>
        <w:rFonts w:ascii="Wingdings" w:hAnsi="Wingdings" w:hint="default"/>
      </w:rPr>
    </w:lvl>
    <w:lvl w:ilvl="6" w:tplc="B432762E">
      <w:start w:val="1"/>
      <w:numFmt w:val="bullet"/>
      <w:lvlText w:val=""/>
      <w:lvlJc w:val="left"/>
      <w:pPr>
        <w:ind w:left="4680" w:hanging="360"/>
      </w:pPr>
      <w:rPr>
        <w:rFonts w:ascii="Symbol" w:hAnsi="Symbol" w:hint="default"/>
      </w:rPr>
    </w:lvl>
    <w:lvl w:ilvl="7" w:tplc="4C6ADB86">
      <w:start w:val="1"/>
      <w:numFmt w:val="bullet"/>
      <w:lvlText w:val="o"/>
      <w:lvlJc w:val="left"/>
      <w:pPr>
        <w:ind w:left="5400" w:hanging="360"/>
      </w:pPr>
      <w:rPr>
        <w:rFonts w:ascii="Courier New" w:hAnsi="Courier New" w:cs="Courier New" w:hint="default"/>
      </w:rPr>
    </w:lvl>
    <w:lvl w:ilvl="8" w:tplc="4BD21C8E">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8"/>
  </w:num>
  <w:num w:numId="6">
    <w:abstractNumId w:val="7"/>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133"/>
    <w:rsid w:val="00025FDE"/>
    <w:rsid w:val="00094697"/>
    <w:rsid w:val="000D2752"/>
    <w:rsid w:val="00113335"/>
    <w:rsid w:val="00145322"/>
    <w:rsid w:val="001F52FE"/>
    <w:rsid w:val="001F5AEF"/>
    <w:rsid w:val="00246C60"/>
    <w:rsid w:val="00284E9F"/>
    <w:rsid w:val="002B49F2"/>
    <w:rsid w:val="002E69BD"/>
    <w:rsid w:val="0035233C"/>
    <w:rsid w:val="00361BC5"/>
    <w:rsid w:val="00386D34"/>
    <w:rsid w:val="003B18C2"/>
    <w:rsid w:val="004176B4"/>
    <w:rsid w:val="00434CCE"/>
    <w:rsid w:val="004F17F2"/>
    <w:rsid w:val="005206EF"/>
    <w:rsid w:val="005D0C06"/>
    <w:rsid w:val="005D7059"/>
    <w:rsid w:val="006C0636"/>
    <w:rsid w:val="006D629C"/>
    <w:rsid w:val="00727978"/>
    <w:rsid w:val="00793D17"/>
    <w:rsid w:val="007A7CEE"/>
    <w:rsid w:val="007D5F5A"/>
    <w:rsid w:val="00841251"/>
    <w:rsid w:val="00866273"/>
    <w:rsid w:val="00870C84"/>
    <w:rsid w:val="008D7B94"/>
    <w:rsid w:val="0096218F"/>
    <w:rsid w:val="00A300B5"/>
    <w:rsid w:val="00A3358A"/>
    <w:rsid w:val="00A34F62"/>
    <w:rsid w:val="00AB6785"/>
    <w:rsid w:val="00B13ACE"/>
    <w:rsid w:val="00B25A7B"/>
    <w:rsid w:val="00B3332B"/>
    <w:rsid w:val="00B439EA"/>
    <w:rsid w:val="00B62250"/>
    <w:rsid w:val="00BC4466"/>
    <w:rsid w:val="00C52160"/>
    <w:rsid w:val="00CD3B45"/>
    <w:rsid w:val="00CF1133"/>
    <w:rsid w:val="00D4138C"/>
    <w:rsid w:val="00D45EFD"/>
    <w:rsid w:val="00D60FEB"/>
    <w:rsid w:val="00D7480F"/>
    <w:rsid w:val="00DA15A4"/>
    <w:rsid w:val="00E60319"/>
    <w:rsid w:val="00F01FE2"/>
    <w:rsid w:val="00F41096"/>
    <w:rsid w:val="00F95C8B"/>
    <w:rsid w:val="00FD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76C6C"/>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paragraph" w:styleId="BalloonText">
    <w:name w:val="Balloon Text"/>
    <w:basedOn w:val="Normal"/>
    <w:link w:val="BalloonTextChar"/>
    <w:uiPriority w:val="99"/>
    <w:semiHidden/>
    <w:unhideWhenUsed/>
    <w:rsid w:val="00025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FDE"/>
    <w:rPr>
      <w:rFonts w:ascii="Segoe UI" w:eastAsia="Calibri" w:hAnsi="Segoe UI" w:cs="Segoe UI"/>
      <w:color w:val="000000"/>
      <w:sz w:val="18"/>
      <w:szCs w:val="18"/>
      <w:lang w:eastAsia="en-GB"/>
    </w:rPr>
  </w:style>
  <w:style w:type="paragraph" w:customStyle="1" w:styleId="NormalNumbered">
    <w:name w:val="Normal Numbered"/>
    <w:basedOn w:val="Normal"/>
    <w:qFormat/>
    <w:rsid w:val="00025FDE"/>
    <w:pPr>
      <w:tabs>
        <w:tab w:val="left" w:pos="709"/>
        <w:tab w:val="num" w:pos="1112"/>
      </w:tabs>
      <w:spacing w:before="120" w:after="240" w:line="264" w:lineRule="auto"/>
      <w:ind w:left="0" w:firstLine="0"/>
      <w:jc w:val="both"/>
    </w:pPr>
    <w:rPr>
      <w:rFonts w:eastAsia="Times New Roman" w:cs="Times New Roman"/>
      <w:color w:val="auto"/>
      <w:sz w:val="20"/>
    </w:rPr>
  </w:style>
  <w:style w:type="character" w:styleId="Hyperlink">
    <w:name w:val="Hyperlink"/>
    <w:basedOn w:val="DefaultParagraphFont"/>
    <w:uiPriority w:val="99"/>
    <w:unhideWhenUsed/>
    <w:rsid w:val="00025FDE"/>
    <w:rPr>
      <w:color w:val="0563C1"/>
      <w:u w:val="single"/>
    </w:rPr>
  </w:style>
  <w:style w:type="character" w:styleId="CommentReference">
    <w:name w:val="annotation reference"/>
    <w:basedOn w:val="DefaultParagraphFont"/>
    <w:uiPriority w:val="99"/>
    <w:semiHidden/>
    <w:unhideWhenUsed/>
    <w:rsid w:val="00025FDE"/>
    <w:rPr>
      <w:sz w:val="16"/>
      <w:szCs w:val="16"/>
    </w:rPr>
  </w:style>
  <w:style w:type="paragraph" w:styleId="CommentText">
    <w:name w:val="annotation text"/>
    <w:basedOn w:val="Normal"/>
    <w:link w:val="CommentTextChar"/>
    <w:uiPriority w:val="99"/>
    <w:semiHidden/>
    <w:unhideWhenUsed/>
    <w:rsid w:val="00025FDE"/>
    <w:pPr>
      <w:spacing w:line="240" w:lineRule="auto"/>
    </w:pPr>
    <w:rPr>
      <w:sz w:val="20"/>
      <w:szCs w:val="20"/>
    </w:rPr>
  </w:style>
  <w:style w:type="character" w:customStyle="1" w:styleId="CommentTextChar">
    <w:name w:val="Comment Text Char"/>
    <w:basedOn w:val="DefaultParagraphFont"/>
    <w:link w:val="CommentText"/>
    <w:uiPriority w:val="99"/>
    <w:semiHidden/>
    <w:rsid w:val="00025FDE"/>
    <w:rPr>
      <w:rFonts w:ascii="Arial" w:eastAsia="Calibri" w:hAnsi="Arial" w:cs="Arial"/>
      <w:color w:val="000000"/>
      <w:sz w:val="20"/>
      <w:szCs w:val="20"/>
      <w:lang w:eastAsia="en-GB"/>
    </w:rPr>
  </w:style>
  <w:style w:type="table" w:styleId="TableGrid">
    <w:name w:val="Table Grid"/>
    <w:basedOn w:val="TableNormal"/>
    <w:uiPriority w:val="39"/>
    <w:rsid w:val="00025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F17F2"/>
    <w:rPr>
      <w:b/>
      <w:bCs/>
    </w:rPr>
  </w:style>
  <w:style w:type="character" w:customStyle="1" w:styleId="CommentSubjectChar">
    <w:name w:val="Comment Subject Char"/>
    <w:basedOn w:val="CommentTextChar"/>
    <w:link w:val="CommentSubject"/>
    <w:uiPriority w:val="99"/>
    <w:semiHidden/>
    <w:rsid w:val="004F17F2"/>
    <w:rPr>
      <w:rFonts w:ascii="Arial" w:eastAsia="Calibri" w:hAnsi="Arial" w:cs="Arial"/>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marie.parkinson@lancashirelep.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3D0C4-9107-4DA1-AF3A-7DE7ABF1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Mahmood, Misbah</cp:lastModifiedBy>
  <cp:revision>13</cp:revision>
  <dcterms:created xsi:type="dcterms:W3CDTF">2014-12-03T08:17:00Z</dcterms:created>
  <dcterms:modified xsi:type="dcterms:W3CDTF">2021-09-01T15:38:00Z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LEP - Programmes Update Report</vt:lpwstr>
  </property>
  <property fmtid="{D5CDD505-2E9C-101B-9397-08002B2CF9AE}" pid="3" name="LeadOfficer">
    <vt:lpwstr>Anne-Marie Parkinson</vt:lpwstr>
  </property>
  <property fmtid="{D5CDD505-2E9C-101B-9397-08002B2CF9AE}" pid="4" name="LeadOfficerEmail">
    <vt:lpwstr>anne-marie.parkinson@lancashirelep.co.uk</vt:lpwstr>
  </property>
  <property fmtid="{D5CDD505-2E9C-101B-9397-08002B2CF9AE}" pid="5" name="LeadOfficerTel">
    <vt:lpwstr/>
  </property>
  <property fmtid="{D5CDD505-2E9C-101B-9397-08002B2CF9AE}" pid="6" name="MeetingDate">
    <vt:lpwstr>Tuesday, 7 September 2021</vt:lpwstr>
  </property>
</Properties>
</file>